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rPr>
          <w:rFonts w:hint="eastAsia" w:ascii="仿宋_GB2312" w:hAnsi="宋体" w:eastAsia="黑体"/>
          <w:b/>
          <w:bCs/>
          <w:kern w:val="0"/>
          <w:sz w:val="44"/>
          <w:szCs w:val="44"/>
          <w:lang w:eastAsia="zh-CN"/>
        </w:rPr>
      </w:pPr>
      <w:r>
        <w:rPr>
          <w:rFonts w:hint="eastAsia" w:ascii="黑体" w:hAnsi="黑体" w:eastAsia="黑体"/>
          <w:bCs/>
          <w:kern w:val="0"/>
          <w:sz w:val="32"/>
          <w:szCs w:val="44"/>
        </w:rPr>
        <w:t>附件1-</w:t>
      </w:r>
      <w:r>
        <w:rPr>
          <w:rFonts w:hint="eastAsia" w:ascii="黑体" w:hAnsi="黑体" w:eastAsia="黑体"/>
          <w:bCs/>
          <w:kern w:val="0"/>
          <w:sz w:val="32"/>
          <w:szCs w:val="44"/>
          <w:lang w:val="en-US" w:eastAsia="zh-CN"/>
        </w:rPr>
        <w:t>6</w:t>
      </w:r>
    </w:p>
    <w:p>
      <w:pPr>
        <w:spacing w:after="120" w:afterLines="50"/>
        <w:jc w:val="center"/>
        <w:rPr>
          <w:rFonts w:ascii="仿宋_GB2312" w:hAnsi="宋体" w:eastAsia="仿宋_GB2312" w:cs="仿宋_GB2312"/>
          <w:b/>
          <w:bCs/>
          <w:kern w:val="0"/>
          <w:sz w:val="44"/>
          <w:szCs w:val="44"/>
        </w:rPr>
      </w:pP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仿宋_GB2312" w:hAnsi="宋体" w:eastAsia="仿宋_GB2312"/>
          <w:b/>
          <w:bCs/>
          <w:kern w:val="0"/>
          <w:sz w:val="44"/>
          <w:szCs w:val="44"/>
        </w:rPr>
      </w:pPr>
      <w:r>
        <w:rPr>
          <w:rFonts w:hint="eastAsia" w:ascii="方正小标宋简体" w:hAnsi="宋体" w:eastAsia="方正小标宋简体" w:cs="仿宋_GB2312"/>
          <w:bCs/>
          <w:color w:val="000000"/>
          <w:kern w:val="0"/>
          <w:sz w:val="44"/>
          <w:szCs w:val="44"/>
        </w:rPr>
        <w:t>（</w:t>
      </w:r>
      <w:r>
        <w:rPr>
          <w:rFonts w:hint="eastAsia" w:ascii="方正小标宋简体" w:hAnsi="宋体" w:eastAsia="方正小标宋简体" w:cs="仿宋_GB2312"/>
          <w:bCs/>
          <w:color w:val="000000"/>
          <w:kern w:val="0"/>
          <w:sz w:val="44"/>
          <w:szCs w:val="44"/>
          <w:lang w:eastAsia="zh-CN"/>
        </w:rPr>
        <w:t>适用于</w:t>
      </w:r>
      <w:r>
        <w:rPr>
          <w:rFonts w:hint="eastAsia" w:ascii="方正小标宋简体" w:hAnsi="宋体" w:eastAsia="方正小标宋简体" w:cs="仿宋_GB2312"/>
          <w:bCs/>
          <w:color w:val="000000"/>
          <w:kern w:val="0"/>
          <w:sz w:val="44"/>
          <w:szCs w:val="44"/>
        </w:rPr>
        <w:t>集体用餐配送单位）</w:t>
      </w: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单位名称：</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p>
    <w:p>
      <w:pPr>
        <w:pStyle w:val="2"/>
        <w:ind w:firstLine="600"/>
      </w:pPr>
      <w:r>
        <w:br w:type="page"/>
      </w:r>
    </w:p>
    <w:p>
      <w:pPr>
        <w:pStyle w:val="2"/>
      </w:pPr>
    </w:p>
    <w:tbl>
      <w:tblPr>
        <w:tblStyle w:val="6"/>
        <w:tblW w:w="48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8"/>
        <w:gridCol w:w="8493"/>
        <w:gridCol w:w="930"/>
        <w:gridCol w:w="740"/>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537"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内容</w:t>
            </w:r>
          </w:p>
        </w:tc>
        <w:tc>
          <w:tcPr>
            <w:tcW w:w="3408" w:type="pct"/>
            <w:vMerge w:val="restart"/>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核查和评价方法</w:t>
            </w:r>
          </w:p>
        </w:tc>
        <w:tc>
          <w:tcPr>
            <w:tcW w:w="373"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编号</w:t>
            </w:r>
          </w:p>
        </w:tc>
        <w:tc>
          <w:tcPr>
            <w:tcW w:w="680" w:type="pct"/>
            <w:gridSpan w:val="2"/>
            <w:vAlign w:val="center"/>
          </w:tcPr>
          <w:p>
            <w:pPr>
              <w:widowControl/>
              <w:jc w:val="center"/>
              <w:rPr>
                <w:rFonts w:hint="eastAsia" w:ascii="仿宋_GB2312" w:hAnsi="宋体" w:eastAsia="仿宋_GB2312" w:cs="仿宋_GB2312"/>
                <w:b/>
                <w:bCs/>
                <w:color w:val="000000"/>
                <w:kern w:val="0"/>
              </w:rPr>
            </w:pPr>
            <w:r>
              <w:rPr>
                <w:rFonts w:hint="eastAsia" w:ascii="仿宋_GB2312" w:hAnsi="宋体" w:eastAsia="仿宋_GB2312" w:cs="仿宋_GB2312"/>
                <w:b/>
                <w:bCs/>
                <w:color w:val="000000"/>
                <w:kern w:val="0"/>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537" w:type="pct"/>
            <w:vMerge w:val="continue"/>
            <w:vAlign w:val="center"/>
          </w:tcPr>
          <w:p>
            <w:pPr>
              <w:widowControl/>
              <w:jc w:val="left"/>
              <w:rPr>
                <w:rFonts w:ascii="仿宋_GB2312" w:hAnsi="宋体" w:eastAsia="仿宋_GB2312"/>
                <w:b/>
                <w:bCs/>
                <w:color w:val="000000"/>
                <w:kern w:val="0"/>
              </w:rPr>
            </w:pPr>
          </w:p>
        </w:tc>
        <w:tc>
          <w:tcPr>
            <w:tcW w:w="3408" w:type="pct"/>
            <w:vMerge w:val="continue"/>
            <w:vAlign w:val="center"/>
          </w:tcPr>
          <w:p>
            <w:pPr>
              <w:widowControl/>
              <w:jc w:val="left"/>
              <w:rPr>
                <w:rFonts w:ascii="仿宋_GB2312" w:hAnsi="宋体" w:eastAsia="仿宋_GB2312"/>
                <w:b/>
                <w:bCs/>
                <w:color w:val="000000"/>
                <w:kern w:val="0"/>
                <w:sz w:val="24"/>
                <w:szCs w:val="24"/>
              </w:rPr>
            </w:pPr>
          </w:p>
        </w:tc>
        <w:tc>
          <w:tcPr>
            <w:tcW w:w="373" w:type="pct"/>
            <w:vMerge w:val="continue"/>
            <w:vAlign w:val="center"/>
          </w:tcPr>
          <w:p>
            <w:pPr>
              <w:widowControl/>
              <w:jc w:val="left"/>
              <w:rPr>
                <w:rFonts w:ascii="仿宋_GB2312" w:hAnsi="宋体" w:eastAsia="仿宋_GB2312"/>
                <w:b/>
                <w:bCs/>
                <w:color w:val="000000"/>
                <w:kern w:val="0"/>
              </w:rPr>
            </w:pPr>
          </w:p>
        </w:tc>
        <w:tc>
          <w:tcPr>
            <w:tcW w:w="297"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符合</w:t>
            </w:r>
          </w:p>
        </w:tc>
        <w:tc>
          <w:tcPr>
            <w:tcW w:w="382"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37" w:type="pct"/>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eastAsia="zh-CN"/>
              </w:rPr>
            </w:pPr>
            <w:r>
              <w:rPr>
                <w:rFonts w:hint="eastAsia" w:ascii="仿宋_GB2312" w:hAnsi="宋体" w:eastAsia="仿宋_GB2312" w:cs="仿宋_GB2312"/>
                <w:color w:val="000000"/>
                <w:kern w:val="0"/>
                <w:sz w:val="21"/>
                <w:szCs w:val="20"/>
                <w:lang w:val="en-US" w:eastAsia="zh-CN"/>
              </w:rPr>
              <w:t>1</w:t>
            </w:r>
            <w:r>
              <w:rPr>
                <w:rFonts w:hint="eastAsia" w:ascii="仿宋_GB2312" w:hAnsi="宋体" w:eastAsia="仿宋_GB2312" w:cs="仿宋_GB2312"/>
                <w:color w:val="000000"/>
                <w:kern w:val="0"/>
                <w:sz w:val="21"/>
                <w:szCs w:val="20"/>
              </w:rPr>
              <w:t>.场所</w:t>
            </w:r>
            <w:r>
              <w:rPr>
                <w:rFonts w:hint="eastAsia" w:ascii="仿宋_GB2312" w:hAnsi="宋体" w:eastAsia="仿宋_GB2312" w:cs="仿宋_GB2312"/>
                <w:color w:val="000000"/>
                <w:kern w:val="0"/>
                <w:sz w:val="21"/>
                <w:szCs w:val="20"/>
                <w:lang w:eastAsia="zh-CN"/>
              </w:rPr>
              <w:t>设置和面积要求</w:t>
            </w: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r>
              <w:rPr>
                <w:rFonts w:hint="eastAsia" w:ascii="仿宋_GB2312" w:hAnsi="宋体" w:eastAsia="仿宋_GB2312" w:cs="仿宋_GB2312"/>
                <w:color w:val="000000"/>
                <w:kern w:val="0"/>
                <w:sz w:val="21"/>
                <w:szCs w:val="20"/>
              </w:rPr>
              <w:t>食品经营场所不得设在易受到污染的区域，应距离粪坑、污水池、暴露垃圾场（站）、旱厕等污染源25米以上。</w:t>
            </w:r>
            <w:r>
              <w:rPr>
                <w:rFonts w:hint="eastAsia" w:ascii="仿宋_GB2312" w:hAnsi="宋体" w:eastAsia="仿宋_GB2312" w:cs="仿宋_GB2312"/>
                <w:color w:val="000000"/>
                <w:kern w:val="0"/>
                <w:sz w:val="21"/>
                <w:szCs w:val="20"/>
                <w:lang w:val="zh-CN" w:eastAsia="zh-CN"/>
              </w:rPr>
              <w:t>食品制作和贮存场所面积应与制作食品的品种和数量相适应。</w:t>
            </w:r>
          </w:p>
        </w:tc>
        <w:tc>
          <w:tcPr>
            <w:tcW w:w="373"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1</w:t>
            </w:r>
          </w:p>
        </w:tc>
        <w:tc>
          <w:tcPr>
            <w:tcW w:w="297"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53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r>
              <w:rPr>
                <w:rFonts w:hint="eastAsia" w:ascii="仿宋_GB2312" w:hAnsi="宋体" w:eastAsia="仿宋_GB2312" w:cs="仿宋_GB2312"/>
                <w:color w:val="000000"/>
                <w:kern w:val="0"/>
                <w:sz w:val="21"/>
                <w:szCs w:val="20"/>
                <w:lang w:val="en-US" w:eastAsia="zh-CN"/>
              </w:rPr>
              <w:t>应选择地面干燥、有</w:t>
            </w:r>
            <w:r>
              <w:rPr>
                <w:rFonts w:hint="eastAsia" w:ascii="仿宋_GB2312" w:hAnsi="宋体" w:eastAsia="仿宋_GB2312" w:cs="仿宋_GB2312"/>
                <w:color w:val="000000"/>
                <w:kern w:val="0"/>
                <w:sz w:val="21"/>
                <w:szCs w:val="20"/>
                <w:lang w:val="zh-CN" w:eastAsia="zh-CN"/>
              </w:rPr>
              <w:t>良好的排水系统</w:t>
            </w:r>
            <w:r>
              <w:rPr>
                <w:rFonts w:hint="eastAsia" w:ascii="仿宋_GB2312" w:hAnsi="宋体" w:eastAsia="仿宋_GB2312" w:cs="仿宋_GB2312"/>
                <w:color w:val="000000"/>
                <w:kern w:val="0"/>
                <w:sz w:val="21"/>
                <w:szCs w:val="20"/>
                <w:lang w:val="en-US" w:eastAsia="zh-CN"/>
              </w:rPr>
              <w:t>和电力供应的区域，</w:t>
            </w:r>
            <w:r>
              <w:rPr>
                <w:rFonts w:hint="eastAsia" w:ascii="仿宋_GB2312" w:hAnsi="宋体" w:eastAsia="仿宋_GB2312" w:cs="仿宋_GB2312"/>
                <w:color w:val="000000"/>
                <w:kern w:val="0"/>
                <w:sz w:val="21"/>
                <w:szCs w:val="20"/>
                <w:lang w:val="zh-CN" w:eastAsia="zh-CN"/>
              </w:rPr>
              <w:t>地面应采用便于清洗的硬质材料铺设，窗户、墙角、柱脚、墙面、地面设置应易于清洁，如设置窗台，其结构应能避免灰尘积存且易于清洗。</w:t>
            </w:r>
            <w:r>
              <w:rPr>
                <w:rFonts w:hint="eastAsia" w:ascii="仿宋_GB2312" w:hAnsi="宋体" w:eastAsia="仿宋_GB2312" w:cs="仿宋_GB2312"/>
                <w:color w:val="000000"/>
                <w:kern w:val="0"/>
                <w:sz w:val="21"/>
                <w:szCs w:val="20"/>
                <w:lang w:val="en-US" w:eastAsia="zh-CN"/>
              </w:rPr>
              <w:t>应设置相应的初加工、切配、烹饪以及餐用具清洗消毒、备餐等操作场所，以及食品贮存、更衣、清洁工用具存放场所等。</w:t>
            </w:r>
          </w:p>
        </w:tc>
        <w:tc>
          <w:tcPr>
            <w:tcW w:w="373"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2</w:t>
            </w:r>
          </w:p>
        </w:tc>
        <w:tc>
          <w:tcPr>
            <w:tcW w:w="297"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37" w:type="pct"/>
            <w:vMerge w:val="continue"/>
            <w:vAlign w:val="center"/>
          </w:tcPr>
          <w:p>
            <w:pPr>
              <w:widowControl/>
              <w:rPr>
                <w:rFonts w:ascii="仿宋_GB2312" w:hAnsi="宋体" w:eastAsia="仿宋_GB2312" w:cs="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应设有冷却和分装、分切直接入口易腐食品等的专间，在封闭的自动设备中操作的除外。需要分餐的应设置分餐间。分餐间的设置应符合专间的要求。</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3</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537" w:type="pct"/>
            <w:vMerge w:val="continue"/>
            <w:vAlign w:val="center"/>
          </w:tcPr>
          <w:p>
            <w:pPr>
              <w:widowControl/>
              <w:rPr>
                <w:rFonts w:ascii="仿宋_GB2312" w:hAnsi="宋体" w:eastAsia="仿宋_GB2312" w:cs="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集体用餐配送单位食品处理区面积与单次最大供餐人数相适应。</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4</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537" w:type="pct"/>
            <w:vMerge w:val="continue"/>
            <w:vAlign w:val="center"/>
          </w:tcPr>
          <w:p>
            <w:pPr>
              <w:widowControl/>
              <w:rPr>
                <w:rFonts w:ascii="仿宋_GB2312" w:hAnsi="宋体" w:eastAsia="仿宋_GB2312" w:cs="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r>
              <w:rPr>
                <w:rFonts w:hint="eastAsia" w:ascii="仿宋_GB2312" w:hAnsi="宋体" w:eastAsia="仿宋_GB2312" w:cs="仿宋_GB2312"/>
                <w:color w:val="000000"/>
                <w:kern w:val="0"/>
                <w:sz w:val="21"/>
                <w:szCs w:val="20"/>
                <w:lang w:val="en-US" w:eastAsia="zh-CN"/>
              </w:rPr>
              <w:t>食品处理区应按照原料进入、原料制作、半成品制作、成品供应的流程合理布局。</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5</w:t>
            </w:r>
          </w:p>
        </w:tc>
        <w:tc>
          <w:tcPr>
            <w:tcW w:w="297"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7" w:type="pct"/>
            <w:vMerge w:val="continue"/>
            <w:vAlign w:val="center"/>
          </w:tcPr>
          <w:p>
            <w:pPr>
              <w:widowControl/>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r>
              <w:rPr>
                <w:rFonts w:hint="eastAsia" w:ascii="仿宋_GB2312" w:hAnsi="宋体" w:eastAsia="仿宋_GB2312" w:cs="仿宋_GB2312"/>
                <w:color w:val="000000"/>
                <w:kern w:val="0"/>
                <w:sz w:val="21"/>
                <w:szCs w:val="20"/>
                <w:lang w:val="en-US" w:eastAsia="zh-CN"/>
              </w:rPr>
              <w:t>食品处理区地面的铺设材料应无毒、无异味、不透水、耐腐蚀，地面平坦防滑、无裂缝、无破损、无积水积垢，结构有利于排污、清洗、消毒的需要。排水管道出水口安装的篦子应使用金属材料制成，篦子缝隙间距或网眼应小于10mm。</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6</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spacing w:val="0"/>
                <w:kern w:val="0"/>
                <w:sz w:val="21"/>
                <w:szCs w:val="20"/>
                <w:lang w:val="en-US" w:eastAsia="zh-CN" w:bidi="ar-SA"/>
              </w:rPr>
              <w:t>食品处理区墙壁的涂覆或铺设材料应无毒、无异味、不透水、防霉、不易脱落、易于清洗。食品处理区内需经常冲洗的场所(包括初加工制作、切配、烹饪和餐用具清洗消毒等场所)，应铺设1.5m以上、浅色、不吸水、易清洗的墙裙。食品处理区的门、窗应闭合严密，采用不透水、坚固、不变形的材料制成，结构上应易于维护、清洁。需经常冲洗场所的门，表面还应光滑、不易积垢。餐饮服务场所与外界直接相通的门、窗应安装空气幕、防蝇胶帘、防虫纱窗、防鼠板等设施，防鼠板高度不低于60cm，门的缝隙应小于6mm。防蝇胶帘应覆盖整个门框，底部离地距离小于2cm，相邻胶帘条的重叠部分不少于2cm。与外界直接相通的通风口、换气窗外，应加装不小于16目的防虫筛网。</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7</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天花板涂覆或装修的材料应无毒、无异味、坚固、无裂缝、防霉、不易脱落、易于清洁，具备防止鼠类等有害生物掉落的条件和管理措施。食品烹饪、食品冷却、餐用具清洗消毒等区域天花板涂覆或装修的材料应不吸水、耐高温、耐腐蚀。食品半成品、成品和清洁的餐用具暴露区域上方的天花板应能避免灰尘散落，在结构上不利于冷凝水垂直下落。水蒸汽较多区域的天花板有适当坡度。</w:t>
            </w:r>
          </w:p>
        </w:tc>
        <w:tc>
          <w:tcPr>
            <w:tcW w:w="373"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hint="eastAsia" w:ascii="仿宋_GB2312" w:hAnsi="宋体" w:eastAsia="仿宋_GB2312" w:cs="仿宋_GB2312"/>
                <w:color w:val="000000"/>
                <w:kern w:val="0"/>
                <w:lang w:val="en-US" w:eastAsia="zh-CN"/>
              </w:rPr>
              <w:t>8</w:t>
            </w:r>
          </w:p>
        </w:tc>
        <w:tc>
          <w:tcPr>
            <w:tcW w:w="297"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38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食品处理区应有充足的自然光或人工照明，光泽和亮度应能满足食品制作需要。</w:t>
            </w:r>
          </w:p>
        </w:tc>
        <w:tc>
          <w:tcPr>
            <w:tcW w:w="373"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hint="eastAsia" w:ascii="仿宋_GB2312" w:hAnsi="宋体" w:eastAsia="仿宋_GB2312" w:cs="仿宋_GB2312"/>
                <w:color w:val="000000"/>
                <w:kern w:val="0"/>
                <w:lang w:val="en-US" w:eastAsia="zh-CN"/>
              </w:rPr>
              <w:t>9</w:t>
            </w:r>
          </w:p>
        </w:tc>
        <w:tc>
          <w:tcPr>
            <w:tcW w:w="297"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更衣区与食品处理区应处于同一建筑内，应位于食品处理区入口处附近，更衣设施的数量应满足需要。</w:t>
            </w:r>
          </w:p>
        </w:tc>
        <w:tc>
          <w:tcPr>
            <w:tcW w:w="373"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10</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卫生间不得设置在食品处理区内，卫生间出入口不应与食品处理区直接连通。卫生间应设置独立的排风装置，排风口不应直对食品处理区或就餐区。卫生间的排污管道应与食品处理区排水管道分开设置。卫生间出口附近应设置符合条件的洗手设施。</w:t>
            </w:r>
          </w:p>
        </w:tc>
        <w:tc>
          <w:tcPr>
            <w:tcW w:w="373" w:type="pct"/>
            <w:vAlign w:val="center"/>
          </w:tcPr>
          <w:p>
            <w:pPr>
              <w:widowControl/>
              <w:snapToGrid w:val="0"/>
              <w:jc w:val="center"/>
              <w:rPr>
                <w:rFonts w:hint="default"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11</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537" w:type="pct"/>
            <w:vMerge w:val="restart"/>
            <w:vAlign w:val="center"/>
          </w:tcPr>
          <w:p>
            <w:pPr>
              <w:widowControl/>
              <w:snapToGrid w:val="0"/>
              <w:jc w:val="left"/>
              <w:rPr>
                <w:rFonts w:hint="default" w:ascii="仿宋_GB2312" w:hAnsi="宋体" w:eastAsia="仿宋_GB2312"/>
                <w:color w:val="000000"/>
                <w:kern w:val="0"/>
                <w:lang w:val="en-US" w:eastAsia="zh-CN"/>
              </w:rPr>
            </w:pPr>
            <w:r>
              <w:rPr>
                <w:rFonts w:hint="eastAsia" w:ascii="仿宋_GB2312" w:hAnsi="宋体" w:eastAsia="仿宋_GB2312" w:cs="仿宋_GB2312"/>
                <w:color w:val="000000"/>
                <w:kern w:val="0"/>
                <w:lang w:val="en-US" w:eastAsia="zh-CN"/>
              </w:rPr>
              <w:t>2.设备设施</w:t>
            </w: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制作场所入口处应设置更衣场所、风淋或风幕装置。</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2</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537" w:type="pct"/>
            <w:vMerge w:val="continue"/>
            <w:vAlign w:val="center"/>
          </w:tcPr>
          <w:p>
            <w:pPr>
              <w:widowControl/>
              <w:snapToGrid w:val="0"/>
              <w:jc w:val="left"/>
              <w:rPr>
                <w:rFonts w:hint="default" w:ascii="仿宋_GB2312" w:hAnsi="宋体" w:eastAsia="仿宋_GB2312"/>
                <w:color w:val="000000"/>
                <w:kern w:val="0"/>
                <w:lang w:val="en-US" w:eastAsia="zh-CN"/>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食品处理区应设置足够数量的洗手设施；洗手设施应采用不透水、不易积垢、易于清洁的材料制成；洗手设施附近应配备洗手用品和干手设施等。</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13</w:t>
            </w:r>
          </w:p>
        </w:tc>
        <w:tc>
          <w:tcPr>
            <w:tcW w:w="297"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37" w:type="pct"/>
            <w:vMerge w:val="continue"/>
            <w:vAlign w:val="center"/>
          </w:tcPr>
          <w:p>
            <w:pPr>
              <w:widowControl/>
              <w:snapToGrid w:val="0"/>
              <w:jc w:val="left"/>
              <w:rPr>
                <w:rFonts w:hint="eastAsia" w:ascii="仿宋_GB2312" w:hAnsi="宋体" w:eastAsia="仿宋_GB2312" w:cs="仿宋_GB2312"/>
                <w:color w:val="000000"/>
                <w:kern w:val="0"/>
                <w:lang w:val="en-US" w:eastAsia="zh-CN"/>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应根据制作工艺，配备原料清洗、切配、熟制、速冷、包装、异物检测等设施设备。</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4</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内的操作场所应根据制作品种和规模设置食品原料清洗水池等设施设备，并有明显的区分标识，动物性食品原料、植物性食品原料及水产品原料应分别设置清洗水池。应分别设置盛放动物性食品、植物性食品及水产品原料的容器和制作使用的工用具，并有明显的区分标识。原料、半成品、成品的盛放容器和制作工具、设备应分开并有明显的区分标识。</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5</w:t>
            </w:r>
          </w:p>
        </w:tc>
        <w:tc>
          <w:tcPr>
            <w:tcW w:w="297"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7" w:type="pct"/>
            <w:vMerge w:val="continue"/>
            <w:vAlign w:val="center"/>
          </w:tcPr>
          <w:p>
            <w:pPr>
              <w:widowControl/>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食品制作使用水应符合国家生活饮用水卫生标准。制作现榨果蔬汁、食用冰等直接入口食品的，应配备符合相关规定的净水处理设备或者煮沸设施设备。</w:t>
            </w:r>
          </w:p>
        </w:tc>
        <w:tc>
          <w:tcPr>
            <w:tcW w:w="373"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6</w:t>
            </w:r>
          </w:p>
        </w:tc>
        <w:tc>
          <w:tcPr>
            <w:tcW w:w="297"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37" w:type="pct"/>
            <w:vMerge w:val="continue"/>
            <w:vAlign w:val="center"/>
          </w:tcPr>
          <w:p>
            <w:pPr>
              <w:widowControl/>
              <w:adjustRightInd w:val="0"/>
              <w:snapToGrid w:val="0"/>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餐用具清洗消毒、保洁设施与设备的容量和数量应能满足需要。应分别设置餐用具、食品原料、清洁工用具的清洗设施、设备，并有明显的区分标识。采用化学消毒方法的，应配备计量工具，分别设置清洗、消毒设施设备。餐用具清洗消毒设施、设备应采用不透水、不易积垢、易于清洁的材料制成。应设置存放消毒后餐用具的专用保洁设施。保洁设施应采用不易积垢、易于清洁的材料制成。清洁工用具等存放设施应与食品存放设施、餐具保洁存放设施有明显的区分标识。</w:t>
            </w:r>
          </w:p>
        </w:tc>
        <w:tc>
          <w:tcPr>
            <w:tcW w:w="373" w:type="pct"/>
            <w:vAlign w:val="center"/>
          </w:tcPr>
          <w:p>
            <w:pPr>
              <w:widowControl/>
              <w:jc w:val="center"/>
              <w:rPr>
                <w:rFonts w:hint="eastAsia" w:ascii="仿宋_GB2312" w:hAnsi="宋体" w:eastAsia="仿宋_GB2312" w:cs="Times New Roman"/>
                <w:color w:val="000000"/>
                <w:kern w:val="0"/>
                <w:sz w:val="21"/>
                <w:lang w:val="en-US" w:eastAsia="zh-CN" w:bidi="ar-SA"/>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7</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37" w:type="pct"/>
            <w:vMerge w:val="continue"/>
            <w:vAlign w:val="center"/>
          </w:tcPr>
          <w:p>
            <w:pPr>
              <w:widowControl/>
              <w:adjustRightInd w:val="0"/>
              <w:snapToGrid w:val="0"/>
              <w:spacing w:line="240" w:lineRule="exact"/>
              <w:jc w:val="lef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食品处理区应设置非手动带盖的废弃物存放容器。废弃物存放容器应与食品容器有明显的区分标识。</w:t>
            </w:r>
          </w:p>
        </w:tc>
        <w:tc>
          <w:tcPr>
            <w:tcW w:w="373"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hint="eastAsia" w:ascii="仿宋_GB2312" w:hAnsi="宋体" w:eastAsia="仿宋_GB2312" w:cs="仿宋_GB2312"/>
                <w:color w:val="000000"/>
                <w:kern w:val="0"/>
                <w:lang w:val="en-US" w:eastAsia="zh-CN"/>
              </w:rPr>
              <w:t>18</w:t>
            </w:r>
          </w:p>
        </w:tc>
        <w:tc>
          <w:tcPr>
            <w:tcW w:w="297"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537"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根据食品原料、半成品、成品的贮存要求，应设置相应的食品库房或者贮存场所、贮存设施以及冷冻、冷藏设施。</w:t>
            </w:r>
            <w:r>
              <w:rPr>
                <w:rFonts w:hint="eastAsia" w:ascii="仿宋_GB2312" w:hAnsi="宋体" w:eastAsia="仿宋_GB2312" w:cs="仿宋_GB2312"/>
                <w:color w:val="000000"/>
                <w:kern w:val="0"/>
                <w:sz w:val="21"/>
                <w:szCs w:val="20"/>
                <w:lang w:val="zh-CN" w:eastAsia="zh-CN"/>
              </w:rPr>
              <w:t>采用冷藏方式贮存的，应配备符合规定时间内降至冷藏温度要求的设施设备。</w:t>
            </w:r>
            <w:r>
              <w:rPr>
                <w:rFonts w:hint="eastAsia" w:ascii="仿宋_GB2312" w:hAnsi="宋体" w:eastAsia="仿宋_GB2312" w:cs="仿宋_GB2312"/>
                <w:color w:val="000000"/>
                <w:kern w:val="0"/>
                <w:sz w:val="21"/>
                <w:szCs w:val="20"/>
                <w:lang w:val="en-US" w:eastAsia="zh-CN"/>
              </w:rPr>
              <w:t>按照规定需留样的，应配备留样专用容器和冷藏设施，以及留样管理人员。同一库房内贮存原料、半成品、成品、包装材料的，应分设存放区域并有明显的区分标识；库房应设通风、防潮设施。冷冻、冷藏柜（库）应设有可正确指示内部温度的测温装置。</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9</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37"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食品处理区产生油烟的设备、工序上方，应设置机械排风及油烟过滤装置。产生大量蒸汽的设备、工序上方，应设置机械排风排汽装置。</w:t>
            </w:r>
          </w:p>
        </w:tc>
        <w:tc>
          <w:tcPr>
            <w:tcW w:w="373"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20</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37"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应配备在食品的包装、容器或者配送箱上标注相关信息的设施设备。</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21</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537" w:type="pct"/>
            <w:vMerge w:val="restart"/>
            <w:vAlign w:val="center"/>
          </w:tcPr>
          <w:p>
            <w:pPr>
              <w:widowControl/>
              <w:snapToGrid w:val="0"/>
              <w:rPr>
                <w:rFonts w:hint="eastAsia"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3.运输设备</w:t>
            </w: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应配备封闭式专用运输车辆，以及专用密闭运输容器。</w:t>
            </w:r>
          </w:p>
        </w:tc>
        <w:tc>
          <w:tcPr>
            <w:tcW w:w="373"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22</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37" w:type="pct"/>
            <w:vMerge w:val="continue"/>
            <w:vAlign w:val="center"/>
          </w:tcPr>
          <w:p>
            <w:pPr>
              <w:widowControl/>
              <w:snapToGrid w:val="0"/>
              <w:rPr>
                <w:rFonts w:hint="eastAsia" w:ascii="仿宋_GB2312" w:hAnsi="宋体" w:eastAsia="仿宋_GB2312" w:cs="仿宋_GB2312"/>
                <w:color w:val="000000"/>
                <w:kern w:val="0"/>
                <w:lang w:val="en-US" w:eastAsia="zh-CN"/>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运输车辆、容器内部材质和结构应便于清洗、消毒。</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23</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537" w:type="pct"/>
            <w:vMerge w:val="continue"/>
            <w:vAlign w:val="center"/>
          </w:tcPr>
          <w:p>
            <w:pPr>
              <w:widowControl/>
              <w:snapToGrid w:val="0"/>
              <w:rPr>
                <w:rFonts w:hint="eastAsia" w:ascii="仿宋_GB2312" w:hAnsi="宋体" w:eastAsia="仿宋_GB2312" w:cs="仿宋_GB2312"/>
                <w:color w:val="000000"/>
                <w:kern w:val="0"/>
                <w:lang w:val="en-US" w:eastAsia="zh-CN"/>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应配备冷藏或保温等设施，保证运输时冷藏温度保持在0℃—8℃，保温温度保持在60℃以上。</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24</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7" w:type="pct"/>
            <w:vMerge w:val="restar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val="en-US" w:eastAsia="zh-CN"/>
              </w:rPr>
              <w:t>4</w:t>
            </w:r>
            <w:r>
              <w:rPr>
                <w:rFonts w:hint="eastAsia" w:ascii="仿宋_GB2312" w:hAnsi="宋体" w:eastAsia="仿宋_GB2312" w:cs="仿宋_GB2312"/>
                <w:color w:val="000000"/>
                <w:kern w:val="0"/>
              </w:rPr>
              <w:t>.制度</w:t>
            </w: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应依法建立健全食品安全自查、食品安全追溯、从业人员健康管理等规章制度，并明确保证食品安全的相关规范要求。应建立定期清洗消毒空调及通风设施的制度、定期清洁卫生间的制度。</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25</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7" w:type="pct"/>
            <w:vMerge w:val="continue"/>
            <w:vAlign w:val="center"/>
          </w:tcPr>
          <w:p>
            <w:pPr>
              <w:widowControl/>
              <w:snapToGrid w:val="0"/>
              <w:rPr>
                <w:rFonts w:ascii="仿宋_GB2312" w:hAnsi="宋体" w:eastAsia="仿宋_GB2312" w:cs="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应制定食品安全风险管控清单，建立健全日管控、周排查、月调度工作制度和机制。建立健全食品安全管理人员培训和考核制度、进货查验记录制度、场所及设施设备清洗消毒和维修保养制度、食品贮存管理制度、废弃物处置制度、不合格食品处置制度、食品安全事故处置方案以及食品经营过程控制制度等。食品批发经营企业还应建立食品销售记录制度。</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26</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7" w:type="pct"/>
            <w:vMerge w:val="continue"/>
            <w:vAlign w:val="center"/>
          </w:tcPr>
          <w:p>
            <w:pPr>
              <w:widowControl/>
              <w:snapToGrid w:val="0"/>
              <w:rPr>
                <w:rFonts w:ascii="仿宋_GB2312" w:hAnsi="宋体" w:eastAsia="仿宋_GB2312" w:cs="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食品经营者采购和使用食品相关产品，应建立查验食品相关产品产品合格证明的制度，食品相关产品应符合食品安全国家标准。采购和使用实行许可管理的食品相关产品，还应建立查验供货商许可证的制度。</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27</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37" w:type="pct"/>
            <w:vMerge w:val="restar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val="en-US" w:eastAsia="zh-CN"/>
              </w:rPr>
              <w:t>5.</w:t>
            </w:r>
            <w:r>
              <w:rPr>
                <w:rFonts w:hint="eastAsia" w:ascii="仿宋_GB2312" w:hAnsi="宋体" w:eastAsia="仿宋_GB2312" w:cs="仿宋_GB2312"/>
                <w:color w:val="000000"/>
                <w:kern w:val="0"/>
              </w:rPr>
              <w:t>人员</w:t>
            </w: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经营企业应按照规定配备与企业规模、食品类别、风险等级、管理水平、安全状况等相适应的食品安全总监、食品安全员等食品安全管理人员，明确企业主要负责人、食品安全总监、食品安全员等的岗位职责。</w:t>
            </w:r>
          </w:p>
        </w:tc>
        <w:tc>
          <w:tcPr>
            <w:tcW w:w="373"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28</w:t>
            </w:r>
          </w:p>
        </w:tc>
        <w:tc>
          <w:tcPr>
            <w:tcW w:w="297"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37" w:type="pct"/>
            <w:vMerge w:val="continue"/>
            <w:vAlign w:val="center"/>
          </w:tcPr>
          <w:p>
            <w:pPr>
              <w:widowControl/>
              <w:snapToGrid w:val="0"/>
              <w:rPr>
                <w:rFonts w:hint="eastAsia" w:ascii="仿宋_GB2312" w:hAnsi="宋体" w:eastAsia="仿宋_GB2312" w:cs="仿宋_GB2312"/>
                <w:color w:val="000000"/>
                <w:kern w:val="0"/>
              </w:rPr>
            </w:pP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从事接触直接入口食品工作的从业人员应具有健康证明。</w:t>
            </w:r>
          </w:p>
        </w:tc>
        <w:tc>
          <w:tcPr>
            <w:tcW w:w="373"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29</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37" w:type="pct"/>
            <w:vAlign w:val="center"/>
          </w:tcPr>
          <w:p>
            <w:pPr>
              <w:widowControl/>
              <w:snapToGrid w:val="0"/>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6.食品检验</w:t>
            </w:r>
          </w:p>
        </w:tc>
        <w:tc>
          <w:tcPr>
            <w:tcW w:w="3408"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应具备自行或者委托食品检验的条件。自行检验的，应设置相应的检验室，配备与检验项目相适应的检验设备和检验人员。不具备自行检验能力的，应提交与有法定资质的检测机构签订的相关委托协议等证明文件。检验项目包括农药残留、兽药残留、致病性微生物、餐用具清洗消毒效果等。</w:t>
            </w:r>
          </w:p>
        </w:tc>
        <w:tc>
          <w:tcPr>
            <w:tcW w:w="373"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30</w:t>
            </w:r>
          </w:p>
        </w:tc>
        <w:tc>
          <w:tcPr>
            <w:tcW w:w="297"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bl>
    <w:p>
      <w:pPr>
        <w:ind w:firstLine="210" w:firstLineChars="100"/>
        <w:rPr>
          <w:color w:val="000000"/>
        </w:rPr>
        <w:sectPr>
          <w:footerReference r:id="rId4" w:type="default"/>
          <w:headerReference r:id="rId3" w:type="even"/>
          <w:footerReference r:id="rId5" w:type="even"/>
          <w:pgSz w:w="16838" w:h="11906" w:orient="landscape"/>
          <w:pgMar w:top="1588" w:right="2098" w:bottom="1474" w:left="1985" w:header="851" w:footer="992" w:gutter="0"/>
          <w:cols w:space="720" w:num="1"/>
          <w:docGrid w:type="lines" w:linePitch="312" w:charSpace="0"/>
        </w:sectPr>
      </w:pPr>
      <w:r>
        <w:rPr>
          <w:rFonts w:hint="eastAsia" w:ascii="仿宋_GB2312" w:hAnsi="宋体" w:eastAsia="仿宋_GB2312" w:cs="宋体"/>
          <w:color w:val="000000"/>
          <w:kern w:val="0"/>
        </w:rPr>
        <w:t>说明：应核查内容均核查合格的，方为现场核查合格。</w:t>
      </w:r>
      <w:r>
        <w:rPr>
          <w:rFonts w:hint="eastAsia" w:ascii="仿宋_GB2312" w:hAnsi="宋体" w:eastAsia="仿宋_GB2312" w:cs="宋体"/>
          <w:color w:val="000000"/>
          <w:kern w:val="0"/>
          <w:lang w:eastAsia="zh-CN"/>
        </w:rPr>
        <w:t>合理缺项在“核查结果”处画斜线即可。</w:t>
      </w:r>
    </w:p>
    <w:p>
      <w:pPr>
        <w:spacing w:after="312" w:afterLines="100" w:line="360" w:lineRule="auto"/>
        <w:jc w:val="center"/>
        <w:rPr>
          <w:rFonts w:hint="eastAsia" w:ascii="宋体" w:hAnsi="宋体" w:cs="仿宋_GB2312"/>
          <w:b/>
          <w:bCs/>
          <w:color w:val="000000"/>
          <w:kern w:val="0"/>
          <w:sz w:val="28"/>
          <w:szCs w:val="28"/>
        </w:rPr>
        <w:sectPr>
          <w:footerReference r:id="rId6" w:type="default"/>
          <w:pgSz w:w="16838" w:h="11906" w:orient="landscape"/>
          <w:pgMar w:top="1587" w:right="2098" w:bottom="1474" w:left="1984" w:header="851" w:footer="992" w:gutter="0"/>
          <w:cols w:space="420" w:num="2"/>
          <w:docGrid w:type="lines" w:linePitch="312" w:charSpace="0"/>
        </w:sectPr>
      </w:pPr>
      <w:r>
        <w:rPr>
          <w:rFonts w:hint="eastAsia" w:ascii="宋体" w:hAnsi="宋体" w:cs="仿宋_GB2312"/>
          <w:b/>
          <w:bCs/>
          <w:color w:val="000000"/>
          <w:kern w:val="0"/>
          <w:sz w:val="28"/>
          <w:szCs w:val="28"/>
        </w:rPr>
        <w:t xml:space="preserve">  </w:t>
      </w:r>
    </w:p>
    <w:p>
      <w:pPr>
        <w:spacing w:after="312" w:afterLines="100" w:line="360" w:lineRule="auto"/>
        <w:jc w:val="center"/>
        <w:rPr>
          <w:rFonts w:hint="eastAsia"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食品经营许可（集体用餐配送</w:t>
      </w:r>
      <w:r>
        <w:rPr>
          <w:rFonts w:hint="eastAsia" w:ascii="黑体" w:hAnsi="宋体" w:eastAsia="黑体" w:cs="宋体"/>
          <w:bCs/>
          <w:color w:val="000000"/>
          <w:kern w:val="0"/>
          <w:sz w:val="36"/>
          <w:szCs w:val="36"/>
          <w:lang w:eastAsia="zh-CN"/>
        </w:rPr>
        <w:t>单位</w:t>
      </w:r>
      <w:r>
        <w:rPr>
          <w:rFonts w:hint="eastAsia" w:ascii="黑体" w:hAnsi="宋体" w:eastAsia="黑体" w:cs="宋体"/>
          <w:bCs/>
          <w:color w:val="000000"/>
          <w:kern w:val="0"/>
          <w:sz w:val="36"/>
          <w:szCs w:val="36"/>
        </w:rPr>
        <w:t>）现场核查意见</w:t>
      </w:r>
    </w:p>
    <w:p>
      <w:pPr>
        <w:spacing w:line="500" w:lineRule="exact"/>
        <w:rPr>
          <w:rFonts w:ascii="宋体" w:hAnsi="宋体" w:cs="仿宋_GB2312"/>
          <w:b/>
          <w:bCs/>
          <w:color w:val="000000"/>
          <w:kern w:val="0"/>
          <w:sz w:val="28"/>
          <w:szCs w:val="28"/>
          <w:u w:val="single"/>
        </w:rPr>
      </w:pPr>
      <w:bookmarkStart w:id="0" w:name="_GoBack"/>
      <w:bookmarkEnd w:id="0"/>
      <w:r>
        <w:rPr>
          <w:rFonts w:hint="eastAsia" w:ascii="宋体" w:hAnsi="宋体" w:cs="仿宋_GB2312"/>
          <w:b/>
          <w:bCs/>
          <w:color w:val="000000"/>
          <w:kern w:val="0"/>
          <w:sz w:val="28"/>
          <w:szCs w:val="28"/>
        </w:rPr>
        <w:t>单位名称：</w:t>
      </w:r>
    </w:p>
    <w:p>
      <w:pPr>
        <w:pStyle w:val="2"/>
        <w:ind w:firstLine="0" w:firstLineChars="0"/>
        <w:rPr>
          <w:rFonts w:asciiTheme="minorEastAsia" w:hAnsiTheme="minorEastAsia" w:eastAsiaTheme="minorEastAsia"/>
          <w:sz w:val="21"/>
          <w:szCs w:val="21"/>
        </w:rPr>
        <w:sectPr>
          <w:type w:val="continuous"/>
          <w:pgSz w:w="16838" w:h="11906" w:orient="landscape"/>
          <w:pgMar w:top="1418" w:right="1134" w:bottom="851" w:left="1701" w:header="851" w:footer="992" w:gutter="0"/>
          <w:cols w:space="425" w:num="1"/>
          <w:docGrid w:type="lines" w:linePitch="312" w:charSpace="0"/>
        </w:sectPr>
      </w:pPr>
    </w:p>
    <w:p>
      <w:pPr>
        <w:pStyle w:val="2"/>
        <w:rPr>
          <w:rFonts w:hint="eastAsia" w:ascii="黑体" w:hAnsi="宋体" w:eastAsia="黑体" w:cs="宋体"/>
          <w:bCs/>
          <w:color w:val="000000"/>
          <w:kern w:val="0"/>
          <w:sz w:val="36"/>
          <w:szCs w:val="36"/>
        </w:rPr>
        <w:sectPr>
          <w:type w:val="continuous"/>
          <w:pgSz w:w="16838" w:h="11906" w:orient="landscape"/>
          <w:pgMar w:top="1587" w:right="2098" w:bottom="1474" w:left="1984" w:header="851" w:footer="992" w:gutter="0"/>
          <w:cols w:space="425" w:num="1"/>
          <w:docGrid w:type="lines" w:linePitch="312" w:charSpace="0"/>
        </w:sectPr>
      </w:pPr>
    </w:p>
    <w:p>
      <w:pPr>
        <w:spacing w:after="240" w:afterLines="100" w:line="360" w:lineRule="auto"/>
        <w:jc w:val="left"/>
        <w:rPr>
          <w:rFonts w:ascii="宋体" w:hAnsi="宋体"/>
        </w:rPr>
      </w:pPr>
      <w:r>
        <w:rPr>
          <w:rFonts w:hint="eastAsia" w:ascii="宋体" w:hAnsi="宋体"/>
        </w:rPr>
        <w:t>现场情况核查结果如下：</w:t>
      </w:r>
    </w:p>
    <w:p>
      <w:pPr>
        <w:spacing w:line="280" w:lineRule="exact"/>
        <w:ind w:firstLine="435"/>
        <w:rPr>
          <w:rFonts w:ascii="宋体" w:hAnsi="宋体"/>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77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382"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核查类别</w:t>
            </w:r>
          </w:p>
        </w:tc>
        <w:tc>
          <w:tcPr>
            <w:tcW w:w="1773"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不符合项数</w:t>
            </w:r>
          </w:p>
        </w:tc>
        <w:tc>
          <w:tcPr>
            <w:tcW w:w="1701"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2" w:type="dxa"/>
            <w:noWrap w:val="0"/>
            <w:vAlign w:val="center"/>
          </w:tcPr>
          <w:p>
            <w:pPr>
              <w:jc w:val="center"/>
              <w:rPr>
                <w:rFonts w:ascii="仿宋_GB2312" w:hAnsi="宋体" w:eastAsia="仿宋_GB2312" w:cs="宋体"/>
                <w:color w:val="000000"/>
                <w:kern w:val="0"/>
              </w:rPr>
            </w:pPr>
            <w:r>
              <w:rPr>
                <w:rFonts w:hint="eastAsia" w:ascii="仿宋_GB2312" w:hAnsi="宋体" w:eastAsia="仿宋_GB2312" w:cs="仿宋_GB2312"/>
                <w:color w:val="000000"/>
                <w:kern w:val="0"/>
                <w:sz w:val="21"/>
                <w:szCs w:val="20"/>
              </w:rPr>
              <w:t>场所</w:t>
            </w:r>
            <w:r>
              <w:rPr>
                <w:rFonts w:hint="eastAsia" w:ascii="仿宋_GB2312" w:hAnsi="宋体" w:eastAsia="仿宋_GB2312" w:cs="仿宋_GB2312"/>
                <w:color w:val="000000"/>
                <w:kern w:val="0"/>
                <w:sz w:val="21"/>
                <w:szCs w:val="20"/>
                <w:lang w:eastAsia="zh-CN"/>
              </w:rPr>
              <w:t>设置和面积要求</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设施设备</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运输设备</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制度</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人员</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食品检验</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bl>
    <w:p>
      <w:pPr>
        <w:tabs>
          <w:tab w:val="center" w:pos="7371"/>
          <w:tab w:val="left" w:pos="11825"/>
        </w:tabs>
        <w:spacing w:line="280" w:lineRule="exact"/>
        <w:jc w:val="left"/>
        <w:rPr>
          <w:rFonts w:hint="eastAsia" w:ascii="宋体" w:hAnsi="宋体"/>
        </w:rPr>
      </w:pPr>
    </w:p>
    <w:p>
      <w:pPr>
        <w:tabs>
          <w:tab w:val="center" w:pos="7371"/>
          <w:tab w:val="left" w:pos="11825"/>
        </w:tabs>
        <w:spacing w:line="280" w:lineRule="exact"/>
        <w:jc w:val="left"/>
        <w:rPr>
          <w:rFonts w:hint="eastAsia" w:ascii="宋体" w:hAnsi="宋体"/>
        </w:rPr>
      </w:pPr>
    </w:p>
    <w:p>
      <w:pPr>
        <w:tabs>
          <w:tab w:val="center" w:pos="7371"/>
          <w:tab w:val="left" w:pos="11825"/>
        </w:tabs>
        <w:spacing w:line="280" w:lineRule="exact"/>
        <w:jc w:val="left"/>
        <w:rPr>
          <w:rFonts w:hint="eastAsia" w:ascii="宋体" w:hAnsi="宋体"/>
        </w:rPr>
      </w:pPr>
    </w:p>
    <w:p>
      <w:pPr>
        <w:tabs>
          <w:tab w:val="center" w:pos="7371"/>
          <w:tab w:val="left" w:pos="11825"/>
        </w:tabs>
        <w:spacing w:line="280" w:lineRule="exact"/>
        <w:jc w:val="left"/>
        <w:rPr>
          <w:rFonts w:hint="eastAsia" w:ascii="宋体" w:hAnsi="宋体"/>
        </w:rPr>
      </w:pPr>
    </w:p>
    <w:p>
      <w:pPr>
        <w:tabs>
          <w:tab w:val="center" w:pos="7371"/>
          <w:tab w:val="left" w:pos="11825"/>
        </w:tabs>
        <w:spacing w:line="280" w:lineRule="exact"/>
        <w:jc w:val="left"/>
        <w:rPr>
          <w:rFonts w:hint="eastAsia" w:ascii="宋体" w:hAnsi="宋体"/>
        </w:rPr>
      </w:pPr>
    </w:p>
    <w:p>
      <w:pPr>
        <w:tabs>
          <w:tab w:val="center" w:pos="7371"/>
          <w:tab w:val="left" w:pos="11825"/>
        </w:tabs>
        <w:spacing w:line="280" w:lineRule="exact"/>
        <w:jc w:val="left"/>
        <w:rPr>
          <w:rFonts w:ascii="宋体" w:hAnsi="宋体"/>
        </w:rPr>
      </w:pPr>
      <w:r>
        <w:rPr>
          <w:rFonts w:hint="eastAsia" w:ascii="宋体" w:hAnsi="宋体"/>
        </w:rPr>
        <w:t>现场核查结论：该单位现场设备、设施符合以下主体业态和经营项目的基本食品安全要求：</w:t>
      </w:r>
    </w:p>
    <w:p>
      <w:pPr>
        <w:spacing w:line="280" w:lineRule="exact"/>
        <w:jc w:val="left"/>
        <w:rPr>
          <w:rFonts w:ascii="宋体" w:hAnsi="宋体"/>
        </w:rPr>
      </w:pPr>
      <w:r>
        <w:rPr>
          <w:rFonts w:hint="eastAsia" w:ascii="宋体" w:hAnsi="宋体"/>
        </w:rPr>
        <w:t>1. 主体业态：</w:t>
      </w:r>
    </w:p>
    <w:p>
      <w:pPr>
        <w:spacing w:line="280" w:lineRule="exact"/>
        <w:rPr>
          <w:rFonts w:ascii="宋体" w:hAnsi="宋体"/>
        </w:rPr>
      </w:pPr>
      <w:r>
        <w:rPr>
          <w:rFonts w:hint="eastAsia" w:ascii="宋体" w:hAnsi="宋体"/>
        </w:rPr>
        <w:t>□餐饮服务经营者</w:t>
      </w:r>
    </w:p>
    <w:p>
      <w:pPr>
        <w:spacing w:line="280" w:lineRule="exact"/>
        <w:rPr>
          <w:rFonts w:ascii="宋体" w:hAnsi="宋体"/>
        </w:rPr>
      </w:pPr>
      <w:r>
        <w:rPr>
          <w:rFonts w:hint="eastAsia" w:ascii="宋体" w:hAnsi="宋体"/>
        </w:rPr>
        <w:t xml:space="preserve">       □集体用餐配送单位</w:t>
      </w:r>
    </w:p>
    <w:p>
      <w:pPr>
        <w:spacing w:line="280" w:lineRule="exact"/>
        <w:rPr>
          <w:rFonts w:ascii="宋体" w:hAnsi="宋体"/>
        </w:rPr>
      </w:pPr>
      <w:r>
        <w:rPr>
          <w:rFonts w:hint="eastAsia" w:ascii="宋体" w:hAnsi="宋体"/>
        </w:rPr>
        <w:t xml:space="preserve">2.经营项目： </w:t>
      </w:r>
    </w:p>
    <w:p>
      <w:pPr>
        <w:spacing w:line="280" w:lineRule="exact"/>
        <w:rPr>
          <w:rFonts w:ascii="宋体" w:hAnsi="宋体"/>
        </w:rPr>
      </w:pPr>
      <w:r>
        <w:rPr>
          <w:rFonts w:hint="eastAsia" w:ascii="宋体" w:hAnsi="宋体"/>
        </w:rPr>
        <w:t>□热食类食品制售</w:t>
      </w:r>
    </w:p>
    <w:p>
      <w:pPr>
        <w:spacing w:line="280" w:lineRule="exact"/>
        <w:jc w:val="left"/>
        <w:rPr>
          <w:rFonts w:ascii="宋体" w:hAnsi="宋体"/>
        </w:rPr>
      </w:pPr>
      <w:r>
        <w:rPr>
          <w:rFonts w:hint="eastAsia" w:ascii="宋体" w:hAnsi="宋体"/>
        </w:rPr>
        <w:t>□冷食类食品制售</w:t>
      </w:r>
      <w:r>
        <w:rPr>
          <w:rFonts w:hint="eastAsia" w:ascii="宋体" w:hAnsi="宋体"/>
          <w:lang w:val="en-US" w:eastAsia="zh-CN"/>
        </w:rPr>
        <w:t xml:space="preserve">  </w:t>
      </w:r>
      <w:r>
        <w:rPr>
          <w:rFonts w:hint="eastAsia" w:ascii="宋体" w:hAnsi="宋体"/>
        </w:rPr>
        <w:t>□含冷加工糕点制售 □不含冷加工糕点制售</w:t>
      </w:r>
    </w:p>
    <w:p>
      <w:pPr>
        <w:spacing w:line="28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pPr>
        <w:spacing w:line="280" w:lineRule="exact"/>
        <w:jc w:val="left"/>
        <w:rPr>
          <w:rFonts w:hint="eastAsia" w:ascii="宋体" w:hAnsi="宋体"/>
        </w:rPr>
      </w:pPr>
      <w:r>
        <w:rPr>
          <w:rFonts w:hint="eastAsia" w:ascii="宋体" w:hAnsi="宋体"/>
        </w:rPr>
        <w:t>□生食类食品制售</w:t>
      </w:r>
    </w:p>
    <w:p>
      <w:pPr>
        <w:spacing w:line="280" w:lineRule="exact"/>
        <w:jc w:val="left"/>
      </w:pPr>
      <w:r>
        <w:rPr>
          <w:rFonts w:hint="eastAsia" w:ascii="宋体" w:hAnsi="宋体"/>
        </w:rPr>
        <w:t>□</w:t>
      </w:r>
      <w:r>
        <w:rPr>
          <w:rFonts w:hint="eastAsia" w:ascii="宋体" w:hAnsi="宋体"/>
          <w:lang w:eastAsia="zh-CN"/>
        </w:rPr>
        <w:t>半成品</w:t>
      </w:r>
      <w:r>
        <w:rPr>
          <w:rFonts w:hint="eastAsia" w:ascii="宋体" w:hAnsi="宋体"/>
        </w:rPr>
        <w:t>制售</w:t>
      </w:r>
      <w:r>
        <w:rPr>
          <w:rFonts w:hint="eastAsia" w:ascii="宋体" w:hAnsi="宋体"/>
          <w:lang w:eastAsia="zh-CN"/>
        </w:rPr>
        <w:t>（仅限中央厨房申请）</w:t>
      </w:r>
    </w:p>
    <w:p>
      <w:pPr>
        <w:adjustRightInd w:val="0"/>
        <w:spacing w:line="280" w:lineRule="exact"/>
        <w:jc w:val="left"/>
        <w:rPr>
          <w:rFonts w:hint="eastAsia" w:ascii="宋体" w:hAnsi="宋体"/>
        </w:rPr>
      </w:pPr>
      <w:r>
        <w:rPr>
          <w:rFonts w:hint="eastAsia" w:ascii="宋体" w:hAnsi="宋体"/>
        </w:rPr>
        <w:t xml:space="preserve">□自制饮品制售   </w:t>
      </w:r>
    </w:p>
    <w:p>
      <w:pPr>
        <w:pStyle w:val="2"/>
      </w:pPr>
    </w:p>
    <w:p>
      <w:pPr>
        <w:tabs>
          <w:tab w:val="center" w:pos="6960"/>
          <w:tab w:val="left" w:pos="11825"/>
        </w:tabs>
        <w:spacing w:line="360" w:lineRule="auto"/>
        <w:jc w:val="left"/>
        <w:rPr>
          <w:rFonts w:ascii="宋体" w:hAnsi="宋体" w:cs="宋体"/>
          <w:kern w:val="0"/>
          <w:lang w:val="zh-CN"/>
        </w:rPr>
      </w:pPr>
      <w:r>
        <w:rPr>
          <w:rFonts w:hint="eastAsia" w:ascii="宋体" w:hAnsi="宋体" w:cs="宋体"/>
          <w:kern w:val="0"/>
          <w:lang w:val="zh-CN"/>
        </w:rPr>
        <w:t>核查人签名：</w:t>
      </w:r>
      <w:r>
        <w:rPr>
          <w:rFonts w:ascii="宋体" w:hAnsi="宋体" w:cs="宋体"/>
          <w:kern w:val="0"/>
          <w:u w:val="single"/>
          <w:lang w:val="zh-CN"/>
        </w:rPr>
        <w:t xml:space="preserve">      </w:t>
      </w:r>
      <w:r>
        <w:rPr>
          <w:rFonts w:hint="eastAsia" w:ascii="宋体" w:hAnsi="宋体" w:cs="宋体"/>
          <w:kern w:val="0"/>
          <w:u w:val="single"/>
          <w:lang w:val="en-US" w:eastAsia="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hint="eastAsia" w:ascii="宋体" w:hAnsi="宋体" w:cs="宋体"/>
          <w:kern w:val="0"/>
          <w:lang w:val="zh-CN"/>
        </w:rPr>
        <w:t>阅后确认签名</w:t>
      </w:r>
      <w:r>
        <w:rPr>
          <w:rFonts w:hint="eastAsia" w:ascii="宋体" w:hAnsi="宋体" w:cs="宋体"/>
          <w:color w:val="000000"/>
          <w:kern w:val="0"/>
          <w:lang w:val="zh-CN"/>
        </w:rPr>
        <w:t>或盖章：</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p>
    <w:p>
      <w:pPr>
        <w:spacing w:after="312" w:afterLines="100" w:line="360" w:lineRule="auto"/>
        <w:ind w:left="141" w:leftChars="67" w:firstLine="630" w:firstLineChars="300"/>
        <w:rPr>
          <w:rFonts w:ascii="宋体" w:hAnsi="宋体" w:cs="宋体"/>
          <w:kern w:val="0"/>
          <w:lang w:val="zh-CN"/>
        </w:rPr>
      </w:pPr>
      <w:r>
        <w:rPr>
          <w:rFonts w:hint="eastAsia" w:ascii="宋体" w:hAnsi="宋体" w:cs="宋体"/>
          <w:kern w:val="0"/>
          <w:lang w:val="zh-CN"/>
        </w:rPr>
        <w:t>日期：</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日期：</w:t>
      </w:r>
      <w:r>
        <w:rPr>
          <w:rFonts w:ascii="宋体" w:hAnsi="宋体" w:cs="宋体"/>
          <w:kern w:val="0"/>
          <w:u w:val="single"/>
          <w:lang w:val="zh-CN"/>
        </w:rPr>
        <w:t xml:space="preserve">           </w:t>
      </w:r>
    </w:p>
    <w:sectPr>
      <w:type w:val="continuous"/>
      <w:pgSz w:w="16838" w:h="11906" w:orient="landscape"/>
      <w:pgMar w:top="1587" w:right="2098" w:bottom="1474" w:left="1984" w:header="851" w:footer="992" w:gutter="0"/>
      <w:cols w:space="42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5" name="矩形 5"/>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50</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59264;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B6tiTu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50</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10"/>
      <w:suff w:val="nothing"/>
      <w:lvlText w:val="%1%2.%3.%4　"/>
      <w:lvlJc w:val="left"/>
      <w:pPr>
        <w:ind w:left="426" w:firstLine="0"/>
      </w:pPr>
      <w:rPr>
        <w:rFonts w:hint="eastAsia" w:ascii="黑体" w:eastAsia="黑体"/>
        <w:b w:val="0"/>
        <w:i w:val="0"/>
        <w:color w:val="000000"/>
        <w:sz w:val="21"/>
      </w:rPr>
    </w:lvl>
    <w:lvl w:ilvl="4" w:tentative="0">
      <w:start w:val="1"/>
      <w:numFmt w:val="decimal"/>
      <w:suff w:val="nothing"/>
      <w:lvlText w:val="%1%2.%3.%4.%5　"/>
      <w:lvlJc w:val="left"/>
      <w:pPr>
        <w:ind w:left="567" w:firstLine="0"/>
      </w:pPr>
      <w:rPr>
        <w:rFonts w:hint="eastAsia" w:ascii="黑体" w:eastAsia="黑体"/>
        <w:b w:val="0"/>
        <w:i w:val="0"/>
        <w:color w:val="00000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0MmMwNDQzYTJhYzk4ODliOTBmY2FhNzkxODkxZmIifQ=="/>
  </w:docVars>
  <w:rsids>
    <w:rsidRoot w:val="66235889"/>
    <w:rsid w:val="00002619"/>
    <w:rsid w:val="00187041"/>
    <w:rsid w:val="00212897"/>
    <w:rsid w:val="002A6B7F"/>
    <w:rsid w:val="002F54C1"/>
    <w:rsid w:val="00325626"/>
    <w:rsid w:val="00357713"/>
    <w:rsid w:val="003E244A"/>
    <w:rsid w:val="005608D1"/>
    <w:rsid w:val="00573D62"/>
    <w:rsid w:val="00593125"/>
    <w:rsid w:val="005B09E0"/>
    <w:rsid w:val="005E38C1"/>
    <w:rsid w:val="005F03EB"/>
    <w:rsid w:val="00650F31"/>
    <w:rsid w:val="00673805"/>
    <w:rsid w:val="0067659B"/>
    <w:rsid w:val="006D619C"/>
    <w:rsid w:val="007319CE"/>
    <w:rsid w:val="00736E6E"/>
    <w:rsid w:val="008063A5"/>
    <w:rsid w:val="00876C2A"/>
    <w:rsid w:val="008865A9"/>
    <w:rsid w:val="00941602"/>
    <w:rsid w:val="009558AD"/>
    <w:rsid w:val="00957F37"/>
    <w:rsid w:val="00A53E29"/>
    <w:rsid w:val="00AA4D33"/>
    <w:rsid w:val="00B4677C"/>
    <w:rsid w:val="00B738D7"/>
    <w:rsid w:val="00BB24FA"/>
    <w:rsid w:val="00BD2D6C"/>
    <w:rsid w:val="00C21935"/>
    <w:rsid w:val="00CD0AF9"/>
    <w:rsid w:val="00D1124A"/>
    <w:rsid w:val="00E53EEC"/>
    <w:rsid w:val="00F651C8"/>
    <w:rsid w:val="00F94A4F"/>
    <w:rsid w:val="19016F3C"/>
    <w:rsid w:val="228C453A"/>
    <w:rsid w:val="274DAC39"/>
    <w:rsid w:val="2FBFB236"/>
    <w:rsid w:val="32FF5F5A"/>
    <w:rsid w:val="3CFFD91D"/>
    <w:rsid w:val="3DBD8F64"/>
    <w:rsid w:val="3E770D32"/>
    <w:rsid w:val="3ECF5344"/>
    <w:rsid w:val="3FDEC225"/>
    <w:rsid w:val="477BFB97"/>
    <w:rsid w:val="4FF680DF"/>
    <w:rsid w:val="5CF522A6"/>
    <w:rsid w:val="5D9E1650"/>
    <w:rsid w:val="5DD75893"/>
    <w:rsid w:val="5DF21DFA"/>
    <w:rsid w:val="66235889"/>
    <w:rsid w:val="6747BAE1"/>
    <w:rsid w:val="687FB98C"/>
    <w:rsid w:val="6AFFF49C"/>
    <w:rsid w:val="6BD5421F"/>
    <w:rsid w:val="6F969507"/>
    <w:rsid w:val="6FD7D3D9"/>
    <w:rsid w:val="76DF7701"/>
    <w:rsid w:val="775FB72F"/>
    <w:rsid w:val="7DFFEDE5"/>
    <w:rsid w:val="7EDE705D"/>
    <w:rsid w:val="7FA502A9"/>
    <w:rsid w:val="7FB7E5B4"/>
    <w:rsid w:val="7FBF47C7"/>
    <w:rsid w:val="7FDECF9F"/>
    <w:rsid w:val="7FFC656E"/>
    <w:rsid w:val="7FFD1A16"/>
    <w:rsid w:val="9E7FD12B"/>
    <w:rsid w:val="ADEF6304"/>
    <w:rsid w:val="AEFBDF27"/>
    <w:rsid w:val="DA7FB12C"/>
    <w:rsid w:val="E7D8E634"/>
    <w:rsid w:val="E9DD378B"/>
    <w:rsid w:val="EBDE789A"/>
    <w:rsid w:val="ED3FE37D"/>
    <w:rsid w:val="EF97FDD2"/>
    <w:rsid w:val="EF9F52A5"/>
    <w:rsid w:val="EFEB98F0"/>
    <w:rsid w:val="F6EC35F7"/>
    <w:rsid w:val="F7BC04CF"/>
    <w:rsid w:val="F7F1809B"/>
    <w:rsid w:val="F7FF75EC"/>
    <w:rsid w:val="FBA5C9FB"/>
    <w:rsid w:val="FEDDCEB5"/>
    <w:rsid w:val="FFDB19C6"/>
    <w:rsid w:val="FFFF762E"/>
    <w:rsid w:val="FFFFE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annotation text"/>
    <w:basedOn w:val="1"/>
    <w:qFormat/>
    <w:uiPriority w:val="0"/>
    <w:pPr>
      <w:jc w:val="left"/>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style>
  <w:style w:type="paragraph" w:customStyle="1" w:styleId="9">
    <w:name w:val="标准文件_二级无标题"/>
    <w:basedOn w:val="10"/>
    <w:qFormat/>
    <w:uiPriority w:val="0"/>
    <w:pPr>
      <w:spacing w:beforeLines="0" w:afterLines="0"/>
      <w:outlineLvl w:val="9"/>
    </w:pPr>
    <w:rPr>
      <w:rFonts w:ascii="宋体" w:eastAsia="宋体"/>
    </w:rPr>
  </w:style>
  <w:style w:type="paragraph" w:customStyle="1" w:styleId="10">
    <w:name w:val="标准文件_二级条标题"/>
    <w:next w:val="11"/>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2">
    <w:name w:val="页眉 Char"/>
    <w:basedOn w:val="7"/>
    <w:link w:val="5"/>
    <w:qFormat/>
    <w:uiPriority w:val="0"/>
    <w:rPr>
      <w:rFonts w:ascii="Times New Roman" w:hAnsi="Times New Roman" w:eastAsia="宋体" w:cs="Times New Roman"/>
      <w:kern w:val="2"/>
      <w:sz w:val="18"/>
      <w:szCs w:val="18"/>
    </w:rPr>
  </w:style>
  <w:style w:type="character" w:customStyle="1" w:styleId="13">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Company>
  <Pages>6</Pages>
  <Words>3079</Words>
  <Characters>3128</Characters>
  <Lines>45</Lines>
  <Paragraphs>12</Paragraphs>
  <TotalTime>0</TotalTime>
  <ScaleCrop>false</ScaleCrop>
  <LinksUpToDate>false</LinksUpToDate>
  <CharactersWithSpaces>3384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2023-09-05T11:04:00Z</dcterms:created>
  <dc:creator>scjgj</dc:creator>
  <cp:lastModifiedBy>yangsy</cp:lastModifiedBy>
  <dcterms:modified xsi:type="dcterms:W3CDTF">2024-11-12T09:11:51Z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7DB7B5B6C4634AB0A2B8500B25EDBC11_13</vt:lpwstr>
  </property>
</Properties>
</file>