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19" w:lineRule="auto"/>
        <w:ind w:left="115"/>
        <w:rPr>
          <w:rFonts w:hint="eastAsia" w:ascii="黑体" w:hAnsi="黑体" w:eastAsia="黑体" w:cs="黑体"/>
          <w:spacing w:val="21"/>
          <w:sz w:val="32"/>
          <w:szCs w:val="32"/>
        </w:rPr>
      </w:pPr>
      <w:bookmarkStart w:id="0" w:name="_GoBack"/>
      <w:bookmarkEnd w:id="0"/>
      <w:r>
        <w:rPr>
          <w:rFonts w:hint="eastAsia" w:ascii="黑体" w:hAnsi="黑体" w:eastAsia="黑体" w:cs="黑体"/>
          <w:spacing w:val="21"/>
          <w:sz w:val="32"/>
          <w:szCs w:val="32"/>
        </w:rPr>
        <w:t>附件2</w:t>
      </w:r>
    </w:p>
    <w:p>
      <w:pPr>
        <w:spacing w:before="101" w:line="219" w:lineRule="auto"/>
        <w:ind w:left="115"/>
        <w:rPr>
          <w:rFonts w:hint="eastAsia" w:ascii="黑体" w:hAnsi="黑体" w:eastAsia="黑体" w:cs="黑体"/>
          <w:spacing w:val="21"/>
          <w:sz w:val="32"/>
          <w:szCs w:val="32"/>
        </w:rPr>
      </w:pPr>
    </w:p>
    <w:p>
      <w:pPr>
        <w:spacing w:before="146" w:line="218" w:lineRule="auto"/>
        <w:ind w:left="281"/>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pacing w:val="-8"/>
          <w:sz w:val="36"/>
          <w:szCs w:val="36"/>
          <w:lang w:eastAsia="zh-CN"/>
        </w:rPr>
        <w:t>辽宁省产品质量监督抽查信息化系统运维服务项目供应商综合比价评分细则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1942"/>
        <w:gridCol w:w="5395"/>
        <w:gridCol w:w="1436"/>
        <w:gridCol w:w="195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9" w:type="dxa"/>
            <w:noWrap/>
            <w:vAlign w:val="center"/>
          </w:tcPr>
          <w:p>
            <w:pPr>
              <w:spacing w:before="194" w:after="0"/>
              <w:jc w:val="center"/>
              <w:rPr>
                <w:rFonts w:hint="eastAsia" w:ascii="仿宋" w:hAnsi="仿宋" w:eastAsia="仿宋"/>
                <w:b/>
                <w:bCs/>
                <w:sz w:val="28"/>
                <w:szCs w:val="28"/>
                <w:lang w:eastAsia="zh-CN"/>
              </w:rPr>
            </w:pPr>
            <w:r>
              <w:rPr>
                <w:rFonts w:hint="eastAsia" w:ascii="仿宋" w:hAnsi="仿宋" w:eastAsia="仿宋"/>
                <w:b/>
                <w:bCs/>
                <w:sz w:val="28"/>
                <w:szCs w:val="28"/>
                <w:lang w:eastAsia="zh-CN"/>
              </w:rPr>
              <w:t>评审项目</w:t>
            </w:r>
          </w:p>
        </w:tc>
        <w:tc>
          <w:tcPr>
            <w:tcW w:w="1942" w:type="dxa"/>
            <w:noWrap/>
            <w:vAlign w:val="center"/>
          </w:tcPr>
          <w:p>
            <w:pPr>
              <w:spacing w:before="194" w:after="0"/>
              <w:jc w:val="center"/>
              <w:rPr>
                <w:rFonts w:hint="eastAsia" w:ascii="仿宋" w:hAnsi="仿宋" w:eastAsia="仿宋"/>
                <w:b/>
                <w:bCs/>
                <w:sz w:val="28"/>
                <w:szCs w:val="28"/>
                <w:lang w:eastAsia="zh-CN"/>
              </w:rPr>
            </w:pPr>
            <w:r>
              <w:rPr>
                <w:rFonts w:hint="eastAsia" w:ascii="仿宋" w:hAnsi="仿宋" w:eastAsia="仿宋"/>
                <w:b/>
                <w:bCs/>
                <w:sz w:val="28"/>
                <w:szCs w:val="28"/>
                <w:lang w:eastAsia="zh-CN"/>
              </w:rPr>
              <w:t>综合比价内容</w:t>
            </w:r>
          </w:p>
        </w:tc>
        <w:tc>
          <w:tcPr>
            <w:tcW w:w="5395" w:type="dxa"/>
            <w:noWrap/>
            <w:vAlign w:val="center"/>
          </w:tcPr>
          <w:p>
            <w:pPr>
              <w:spacing w:before="194" w:after="0"/>
              <w:jc w:val="center"/>
              <w:rPr>
                <w:rFonts w:hint="eastAsia" w:ascii="仿宋" w:hAnsi="仿宋" w:eastAsia="仿宋"/>
                <w:b/>
                <w:bCs/>
                <w:sz w:val="28"/>
                <w:szCs w:val="28"/>
                <w:lang w:eastAsia="zh-CN"/>
              </w:rPr>
            </w:pPr>
            <w:r>
              <w:rPr>
                <w:rFonts w:hint="eastAsia" w:ascii="仿宋" w:hAnsi="仿宋" w:eastAsia="仿宋"/>
                <w:b/>
                <w:bCs/>
                <w:sz w:val="28"/>
                <w:szCs w:val="28"/>
                <w:lang w:eastAsia="zh-CN"/>
              </w:rPr>
              <w:t>得分判定</w:t>
            </w:r>
          </w:p>
        </w:tc>
        <w:tc>
          <w:tcPr>
            <w:tcW w:w="1436" w:type="dxa"/>
            <w:noWrap/>
            <w:vAlign w:val="center"/>
          </w:tcPr>
          <w:p>
            <w:pPr>
              <w:spacing w:before="194" w:after="0"/>
              <w:jc w:val="center"/>
              <w:rPr>
                <w:rFonts w:hint="eastAsia" w:ascii="仿宋" w:hAnsi="仿宋" w:eastAsia="仿宋"/>
                <w:b/>
                <w:bCs/>
                <w:sz w:val="28"/>
                <w:szCs w:val="28"/>
                <w:lang w:eastAsia="zh-CN"/>
              </w:rPr>
            </w:pPr>
            <w:r>
              <w:rPr>
                <w:rFonts w:hint="eastAsia" w:ascii="仿宋" w:hAnsi="仿宋" w:eastAsia="仿宋"/>
                <w:b/>
                <w:bCs/>
                <w:sz w:val="28"/>
                <w:szCs w:val="28"/>
                <w:lang w:eastAsia="zh-CN"/>
              </w:rPr>
              <w:t>分值</w:t>
            </w:r>
          </w:p>
        </w:tc>
        <w:tc>
          <w:tcPr>
            <w:tcW w:w="1950" w:type="dxa"/>
            <w:noWrap/>
            <w:vAlign w:val="center"/>
          </w:tcPr>
          <w:p>
            <w:pPr>
              <w:spacing w:before="194" w:after="0"/>
              <w:jc w:val="center"/>
              <w:rPr>
                <w:rFonts w:hint="eastAsia" w:ascii="仿宋" w:hAnsi="仿宋" w:eastAsia="仿宋"/>
                <w:b/>
                <w:bCs/>
                <w:sz w:val="28"/>
                <w:szCs w:val="28"/>
                <w:lang w:eastAsia="zh-CN"/>
              </w:rPr>
            </w:pPr>
            <w:r>
              <w:rPr>
                <w:rFonts w:hint="eastAsia" w:ascii="仿宋" w:hAnsi="仿宋" w:eastAsia="仿宋"/>
                <w:b/>
                <w:bCs/>
                <w:sz w:val="28"/>
                <w:szCs w:val="28"/>
                <w:lang w:eastAsia="zh-CN"/>
              </w:rPr>
              <w:t>综合比价评分记录</w:t>
            </w:r>
          </w:p>
        </w:tc>
        <w:tc>
          <w:tcPr>
            <w:tcW w:w="1316" w:type="dxa"/>
            <w:noWrap/>
            <w:vAlign w:val="center"/>
          </w:tcPr>
          <w:p>
            <w:pPr>
              <w:spacing w:before="194" w:after="0"/>
              <w:jc w:val="center"/>
              <w:rPr>
                <w:rFonts w:hint="eastAsia" w:ascii="仿宋" w:hAnsi="仿宋" w:eastAsia="仿宋"/>
                <w:b/>
                <w:bCs/>
                <w:sz w:val="28"/>
                <w:szCs w:val="28"/>
                <w:lang w:eastAsia="zh-CN"/>
              </w:rPr>
            </w:pPr>
            <w:r>
              <w:rPr>
                <w:rFonts w:hint="eastAsia" w:ascii="仿宋" w:hAnsi="仿宋" w:eastAsia="仿宋"/>
                <w:b/>
                <w:bCs/>
                <w:sz w:val="28"/>
                <w:szCs w:val="28"/>
                <w:lang w:eastAsia="zh-CN"/>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39"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价格部分（20分）</w:t>
            </w:r>
          </w:p>
        </w:tc>
        <w:tc>
          <w:tcPr>
            <w:tcW w:w="1942"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供应商报价</w:t>
            </w:r>
          </w:p>
        </w:tc>
        <w:tc>
          <w:tcPr>
            <w:tcW w:w="5395" w:type="dxa"/>
            <w:vAlign w:val="center"/>
          </w:tcPr>
          <w:p>
            <w:pPr>
              <w:spacing w:before="194" w:after="0"/>
              <w:rPr>
                <w:rFonts w:hint="eastAsia" w:ascii="仿宋" w:hAnsi="仿宋" w:eastAsia="仿宋"/>
                <w:lang w:eastAsia="zh-CN"/>
              </w:rPr>
            </w:pPr>
            <w:r>
              <w:rPr>
                <w:rFonts w:hint="eastAsia" w:ascii="仿宋" w:hAnsi="仿宋" w:eastAsia="仿宋"/>
                <w:lang w:eastAsia="zh-CN"/>
              </w:rPr>
              <w:t>本项目价格权重为：20分</w:t>
            </w:r>
          </w:p>
          <w:p>
            <w:pPr>
              <w:spacing w:before="194" w:after="0"/>
              <w:rPr>
                <w:rFonts w:hint="eastAsia" w:ascii="仿宋" w:hAnsi="仿宋" w:eastAsia="仿宋" w:cs="Arial"/>
                <w:lang w:eastAsia="zh-CN"/>
              </w:rPr>
            </w:pPr>
            <w:r>
              <w:rPr>
                <w:rFonts w:hint="eastAsia" w:ascii="仿宋" w:hAnsi="仿宋" w:eastAsia="仿宋"/>
                <w:lang w:eastAsia="zh-CN"/>
              </w:rPr>
              <w:t>供应商报价得分的计算采用低价优先法，按如下公式进</w:t>
            </w:r>
            <w:r>
              <w:rPr>
                <w:rFonts w:hint="eastAsia" w:ascii="仿宋" w:hAnsi="仿宋" w:eastAsia="仿宋" w:cs="Arial"/>
                <w:lang w:eastAsia="zh-CN"/>
              </w:rPr>
              <w:t>行计算：</w:t>
            </w:r>
          </w:p>
          <w:p>
            <w:pPr>
              <w:spacing w:before="194" w:after="0"/>
              <w:rPr>
                <w:rFonts w:hint="eastAsia" w:ascii="仿宋" w:hAnsi="仿宋" w:eastAsia="仿宋" w:cs="Arial"/>
                <w:lang w:eastAsia="zh-CN"/>
              </w:rPr>
            </w:pPr>
            <w:r>
              <w:rPr>
                <w:rFonts w:hint="eastAsia" w:ascii="仿宋" w:hAnsi="仿宋" w:eastAsia="仿宋" w:cs="Arial"/>
                <w:lang w:eastAsia="zh-CN"/>
              </w:rPr>
              <w:t>报价得分=（基准价/供应商报价）×价格权重</w:t>
            </w:r>
          </w:p>
          <w:p>
            <w:pPr>
              <w:spacing w:before="194" w:after="0"/>
              <w:rPr>
                <w:rFonts w:hint="eastAsia" w:ascii="仿宋" w:hAnsi="仿宋" w:eastAsia="仿宋"/>
                <w:lang w:eastAsia="zh-CN"/>
              </w:rPr>
            </w:pPr>
            <w:r>
              <w:rPr>
                <w:rFonts w:hint="eastAsia" w:ascii="仿宋" w:hAnsi="仿宋" w:eastAsia="仿宋" w:cs="Arial"/>
                <w:lang w:eastAsia="zh-CN"/>
              </w:rPr>
              <w:t>满足要求且报价最低的供应商的价格为基准价，其价格分为满分。</w:t>
            </w: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20</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139" w:type="dxa"/>
            <w:vMerge w:val="restart"/>
            <w:vAlign w:val="center"/>
          </w:tcPr>
          <w:p>
            <w:pPr>
              <w:spacing w:before="194" w:after="0"/>
              <w:jc w:val="center"/>
              <w:rPr>
                <w:rFonts w:hint="eastAsia" w:ascii="仿宋" w:hAnsi="仿宋" w:eastAsia="仿宋"/>
                <w:lang w:eastAsia="zh-CN"/>
              </w:rPr>
            </w:pPr>
            <w:r>
              <w:rPr>
                <w:rFonts w:hint="eastAsia" w:ascii="仿宋" w:hAnsi="仿宋" w:eastAsia="仿宋"/>
                <w:lang w:eastAsia="zh-CN"/>
              </w:rPr>
              <w:t>商务部分（</w:t>
            </w:r>
            <w:r>
              <w:rPr>
                <w:rFonts w:hint="eastAsia" w:ascii="仿宋" w:hAnsi="仿宋" w:eastAsia="仿宋"/>
                <w:lang w:val="en-US" w:eastAsia="zh-CN"/>
              </w:rPr>
              <w:t>30分</w:t>
            </w:r>
            <w:r>
              <w:rPr>
                <w:rFonts w:hint="eastAsia" w:ascii="仿宋" w:hAnsi="仿宋" w:eastAsia="仿宋"/>
                <w:lang w:eastAsia="zh-CN"/>
              </w:rPr>
              <w:t>）</w:t>
            </w:r>
          </w:p>
        </w:tc>
        <w:tc>
          <w:tcPr>
            <w:tcW w:w="1942" w:type="dxa"/>
            <w:vAlign w:val="center"/>
          </w:tcPr>
          <w:p>
            <w:pPr>
              <w:spacing w:before="194" w:after="0"/>
              <w:jc w:val="center"/>
              <w:rPr>
                <w:rFonts w:hint="eastAsia" w:ascii="仿宋" w:hAnsi="仿宋" w:eastAsia="仿宋"/>
                <w:lang w:eastAsia="zh-CN"/>
              </w:rPr>
            </w:pPr>
            <w:r>
              <w:rPr>
                <w:rFonts w:hint="eastAsia" w:ascii="仿宋" w:hAnsi="仿宋" w:eastAsia="仿宋"/>
                <w:lang w:eastAsia="zh-CN"/>
              </w:rPr>
              <w:t>供应商实力</w:t>
            </w:r>
          </w:p>
        </w:tc>
        <w:tc>
          <w:tcPr>
            <w:tcW w:w="5395" w:type="dxa"/>
            <w:vAlign w:val="center"/>
          </w:tcPr>
          <w:p>
            <w:pPr>
              <w:spacing w:before="194" w:after="0"/>
              <w:rPr>
                <w:rFonts w:hint="eastAsia" w:ascii="仿宋" w:hAnsi="仿宋" w:eastAsia="仿宋"/>
                <w:lang w:val="en-US" w:eastAsia="zh-CN"/>
              </w:rPr>
            </w:pPr>
            <w:r>
              <w:rPr>
                <w:rFonts w:hint="eastAsia" w:ascii="仿宋" w:hAnsi="仿宋" w:eastAsia="仿宋"/>
                <w:lang w:eastAsia="zh-CN"/>
              </w:rPr>
              <w:t>供应商能证明具备项目服务能力的，得</w:t>
            </w:r>
            <w:r>
              <w:rPr>
                <w:rFonts w:hint="eastAsia" w:ascii="仿宋" w:hAnsi="仿宋" w:eastAsia="仿宋"/>
                <w:lang w:val="en-US" w:eastAsia="zh-CN"/>
              </w:rPr>
              <w:t>2分；</w:t>
            </w:r>
          </w:p>
          <w:p>
            <w:pPr>
              <w:spacing w:before="194" w:after="0"/>
              <w:rPr>
                <w:rFonts w:hint="eastAsia" w:ascii="仿宋" w:hAnsi="仿宋" w:eastAsia="仿宋"/>
                <w:lang w:eastAsia="zh-CN"/>
              </w:rPr>
            </w:pPr>
            <w:r>
              <w:rPr>
                <w:rFonts w:hint="eastAsia" w:ascii="仿宋" w:hAnsi="仿宋" w:eastAsia="仿宋"/>
                <w:lang w:eastAsia="zh-CN"/>
              </w:rPr>
              <w:t>供应商具备项目服务能力，并且获得信息安全管理体系认证证书的，得</w:t>
            </w:r>
            <w:r>
              <w:rPr>
                <w:rFonts w:hint="eastAsia" w:ascii="仿宋" w:hAnsi="仿宋" w:eastAsia="仿宋"/>
                <w:lang w:val="en-US" w:eastAsia="zh-CN"/>
              </w:rPr>
              <w:t>1.5</w:t>
            </w:r>
            <w:r>
              <w:rPr>
                <w:rFonts w:hint="eastAsia" w:ascii="仿宋" w:hAnsi="仿宋" w:eastAsia="仿宋"/>
                <w:lang w:eastAsia="zh-CN"/>
              </w:rPr>
              <w:t>分；</w:t>
            </w:r>
          </w:p>
          <w:p>
            <w:pPr>
              <w:spacing w:before="194" w:after="0"/>
              <w:rPr>
                <w:rFonts w:hint="eastAsia" w:ascii="仿宋" w:hAnsi="仿宋" w:eastAsia="仿宋"/>
                <w:lang w:eastAsia="zh-CN"/>
              </w:rPr>
            </w:pPr>
            <w:r>
              <w:rPr>
                <w:rFonts w:hint="eastAsia" w:ascii="仿宋" w:hAnsi="仿宋" w:eastAsia="仿宋"/>
                <w:lang w:eastAsia="zh-CN"/>
              </w:rPr>
              <w:t>供应商具备项目服务能力，并且获得信息技术服务管理体系认证证书的，得</w:t>
            </w:r>
            <w:r>
              <w:rPr>
                <w:rFonts w:hint="eastAsia" w:ascii="仿宋" w:hAnsi="仿宋" w:eastAsia="仿宋"/>
                <w:lang w:val="en-US" w:eastAsia="zh-CN"/>
              </w:rPr>
              <w:t>1.5</w:t>
            </w:r>
            <w:r>
              <w:rPr>
                <w:rFonts w:hint="eastAsia" w:ascii="仿宋" w:hAnsi="仿宋" w:eastAsia="仿宋"/>
                <w:lang w:eastAsia="zh-CN"/>
              </w:rPr>
              <w:t>分。</w:t>
            </w:r>
          </w:p>
          <w:p>
            <w:pPr>
              <w:spacing w:before="194" w:after="0"/>
              <w:rPr>
                <w:rFonts w:hint="eastAsia" w:ascii="仿宋" w:hAnsi="仿宋" w:eastAsia="仿宋"/>
                <w:lang w:eastAsia="zh-CN"/>
              </w:rPr>
            </w:pPr>
            <w:r>
              <w:rPr>
                <w:rFonts w:hint="eastAsia" w:ascii="仿宋" w:hAnsi="仿宋" w:eastAsia="仿宋"/>
                <w:lang w:eastAsia="zh-CN"/>
              </w:rPr>
              <w:t>注：须提供具备项目服务能力的承诺函或其他证明材料，在有效期内的上述相关资质、资格证书的复印件并加盖投标单位公章。</w:t>
            </w:r>
          </w:p>
        </w:tc>
        <w:tc>
          <w:tcPr>
            <w:tcW w:w="1436" w:type="dxa"/>
            <w:noWrap/>
            <w:vAlign w:val="center"/>
          </w:tcPr>
          <w:p>
            <w:pPr>
              <w:spacing w:before="194" w:after="0"/>
              <w:jc w:val="center"/>
              <w:rPr>
                <w:rFonts w:hint="default" w:ascii="仿宋" w:hAnsi="仿宋" w:eastAsia="仿宋"/>
                <w:lang w:val="en-US" w:eastAsia="zh-CN"/>
              </w:rPr>
            </w:pPr>
            <w:r>
              <w:rPr>
                <w:rFonts w:hint="eastAsia" w:ascii="仿宋" w:hAnsi="仿宋" w:eastAsia="仿宋"/>
                <w:lang w:val="en-US" w:eastAsia="zh-CN"/>
              </w:rPr>
              <w:t>5</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39" w:type="dxa"/>
            <w:vMerge w:val="continue"/>
            <w:vAlign w:val="center"/>
          </w:tcPr>
          <w:p>
            <w:pPr>
              <w:spacing w:before="194" w:after="0"/>
              <w:jc w:val="center"/>
              <w:rPr>
                <w:rFonts w:hint="eastAsia" w:ascii="仿宋" w:hAnsi="仿宋" w:eastAsia="仿宋"/>
                <w:lang w:eastAsia="zh-CN"/>
              </w:rPr>
            </w:pPr>
          </w:p>
        </w:tc>
        <w:tc>
          <w:tcPr>
            <w:tcW w:w="1942"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供应商业绩</w:t>
            </w:r>
          </w:p>
        </w:tc>
        <w:tc>
          <w:tcPr>
            <w:tcW w:w="5395" w:type="dxa"/>
            <w:vAlign w:val="center"/>
          </w:tcPr>
          <w:p>
            <w:pPr>
              <w:spacing w:before="194" w:after="0"/>
              <w:rPr>
                <w:rFonts w:hint="eastAsia" w:ascii="仿宋" w:hAnsi="仿宋" w:eastAsia="仿宋"/>
                <w:lang w:eastAsia="zh-CN"/>
              </w:rPr>
            </w:pPr>
            <w:r>
              <w:rPr>
                <w:rFonts w:hint="eastAsia" w:ascii="仿宋" w:hAnsi="仿宋" w:eastAsia="仿宋"/>
                <w:lang w:eastAsia="zh-CN"/>
              </w:rPr>
              <w:t>供应商同类项目（信息化运维或开发服务）的成功案例，每个项目得3分，最高9分。对于每一个项目须同时提供以下材料：</w:t>
            </w:r>
          </w:p>
          <w:p>
            <w:pPr>
              <w:spacing w:before="194" w:after="0"/>
              <w:rPr>
                <w:rFonts w:hint="eastAsia" w:ascii="仿宋" w:hAnsi="仿宋" w:eastAsia="仿宋"/>
                <w:lang w:eastAsia="zh-CN"/>
              </w:rPr>
            </w:pPr>
            <w:r>
              <w:rPr>
                <w:rFonts w:hint="eastAsia" w:ascii="仿宋" w:hAnsi="仿宋" w:eastAsia="仿宋"/>
                <w:lang w:eastAsia="zh-CN"/>
              </w:rPr>
              <w:t>合同或验收报告复印件（如提供合同复印件，必须提供合同首页、合同金额所在页、主要内容页及签字盖章页），并加盖供应商公章。</w:t>
            </w: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9</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139" w:type="dxa"/>
            <w:vMerge w:val="continue"/>
            <w:vAlign w:val="center"/>
          </w:tcPr>
          <w:p>
            <w:pPr>
              <w:spacing w:before="194" w:after="0"/>
              <w:jc w:val="center"/>
              <w:rPr>
                <w:rFonts w:hint="eastAsia" w:ascii="仿宋" w:hAnsi="仿宋" w:eastAsia="仿宋"/>
                <w:lang w:eastAsia="zh-CN"/>
              </w:rPr>
            </w:pPr>
          </w:p>
        </w:tc>
        <w:tc>
          <w:tcPr>
            <w:tcW w:w="1942" w:type="dxa"/>
            <w:vMerge w:val="restart"/>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项目团队</w:t>
            </w:r>
          </w:p>
        </w:tc>
        <w:tc>
          <w:tcPr>
            <w:tcW w:w="5395" w:type="dxa"/>
            <w:vAlign w:val="center"/>
          </w:tcPr>
          <w:p>
            <w:pPr>
              <w:spacing w:before="194" w:after="0"/>
              <w:rPr>
                <w:rFonts w:hint="eastAsia" w:ascii="仿宋" w:hAnsi="仿宋" w:eastAsia="仿宋"/>
                <w:lang w:eastAsia="zh-CN"/>
              </w:rPr>
            </w:pPr>
            <w:r>
              <w:rPr>
                <w:rFonts w:hint="eastAsia" w:ascii="仿宋" w:hAnsi="仿宋" w:eastAsia="仿宋"/>
                <w:lang w:eastAsia="zh-CN"/>
              </w:rPr>
              <w:t>项目团队中配备项目经理的，得</w:t>
            </w:r>
            <w:r>
              <w:rPr>
                <w:rFonts w:hint="eastAsia" w:ascii="仿宋" w:hAnsi="仿宋" w:eastAsia="仿宋"/>
                <w:lang w:val="en-US" w:eastAsia="zh-CN"/>
              </w:rPr>
              <w:t>1分，项目经理</w:t>
            </w:r>
            <w:r>
              <w:rPr>
                <w:rFonts w:hint="eastAsia" w:ascii="仿宋" w:hAnsi="仿宋" w:eastAsia="仿宋"/>
                <w:lang w:eastAsia="zh-CN"/>
              </w:rPr>
              <w:t>具有人社部颁发的信息系统项目管理师证书的，得</w:t>
            </w:r>
            <w:r>
              <w:rPr>
                <w:rFonts w:hint="eastAsia" w:ascii="仿宋" w:hAnsi="仿宋" w:eastAsia="仿宋"/>
                <w:lang w:val="en-US" w:eastAsia="zh-CN"/>
              </w:rPr>
              <w:t>1</w:t>
            </w:r>
            <w:r>
              <w:rPr>
                <w:rFonts w:hint="eastAsia" w:ascii="仿宋" w:hAnsi="仿宋" w:eastAsia="仿宋"/>
                <w:lang w:eastAsia="zh-CN"/>
              </w:rPr>
              <w:t>分；</w:t>
            </w:r>
          </w:p>
          <w:p>
            <w:pPr>
              <w:spacing w:before="194" w:after="0"/>
              <w:rPr>
                <w:rFonts w:hint="eastAsia" w:ascii="仿宋" w:hAnsi="仿宋" w:eastAsia="仿宋"/>
                <w:lang w:eastAsia="zh-CN"/>
              </w:rPr>
            </w:pPr>
            <w:r>
              <w:rPr>
                <w:rFonts w:hint="eastAsia" w:ascii="仿宋" w:hAnsi="仿宋" w:eastAsia="仿宋"/>
                <w:lang w:eastAsia="zh-CN"/>
              </w:rPr>
              <w:t>项目团队中配备架构师的，得</w:t>
            </w:r>
            <w:r>
              <w:rPr>
                <w:rFonts w:hint="eastAsia" w:ascii="仿宋" w:hAnsi="仿宋" w:eastAsia="仿宋"/>
                <w:lang w:val="en-US" w:eastAsia="zh-CN"/>
              </w:rPr>
              <w:t>1分，架构师</w:t>
            </w:r>
            <w:r>
              <w:rPr>
                <w:rFonts w:hint="eastAsia" w:ascii="仿宋" w:hAnsi="仿宋" w:eastAsia="仿宋"/>
                <w:lang w:eastAsia="zh-CN"/>
              </w:rPr>
              <w:t>具有人社部颁发的信息系统项目管理师证书的，得</w:t>
            </w:r>
            <w:r>
              <w:rPr>
                <w:rFonts w:hint="eastAsia" w:ascii="仿宋" w:hAnsi="仿宋" w:eastAsia="仿宋"/>
                <w:lang w:val="en-US" w:eastAsia="zh-CN"/>
              </w:rPr>
              <w:t>1</w:t>
            </w:r>
            <w:r>
              <w:rPr>
                <w:rFonts w:hint="eastAsia" w:ascii="仿宋" w:hAnsi="仿宋" w:eastAsia="仿宋"/>
                <w:lang w:eastAsia="zh-CN"/>
              </w:rPr>
              <w:t>分。</w:t>
            </w:r>
          </w:p>
          <w:p>
            <w:pPr>
              <w:spacing w:before="194" w:after="0"/>
              <w:rPr>
                <w:rFonts w:hint="eastAsia" w:ascii="仿宋" w:hAnsi="仿宋" w:eastAsia="仿宋"/>
                <w:lang w:eastAsia="zh-CN"/>
              </w:rPr>
            </w:pPr>
            <w:r>
              <w:rPr>
                <w:rFonts w:hint="eastAsia" w:ascii="仿宋" w:hAnsi="仿宋" w:eastAsia="仿宋"/>
                <w:lang w:eastAsia="zh-CN"/>
              </w:rPr>
              <w:t>注：项目经理兼职架构师职位的，按一项得分计算，最高得</w:t>
            </w:r>
            <w:r>
              <w:rPr>
                <w:rFonts w:hint="eastAsia" w:ascii="仿宋" w:hAnsi="仿宋" w:eastAsia="仿宋"/>
                <w:lang w:val="en-US" w:eastAsia="zh-CN"/>
              </w:rPr>
              <w:t>4</w:t>
            </w:r>
            <w:r>
              <w:rPr>
                <w:rFonts w:hint="eastAsia" w:ascii="仿宋" w:hAnsi="仿宋" w:eastAsia="仿宋"/>
                <w:lang w:eastAsia="zh-CN"/>
              </w:rPr>
              <w:t>分。须提供开标前6个月内任意一个月的在投标单位的社保缴纳记录证明及有效证明材料复印件并加盖供应商公章。</w:t>
            </w: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val="en-US" w:eastAsia="zh-CN"/>
              </w:rPr>
              <w:t>4</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39" w:type="dxa"/>
            <w:vMerge w:val="continue"/>
            <w:vAlign w:val="center"/>
          </w:tcPr>
          <w:p>
            <w:pPr>
              <w:spacing w:before="194" w:after="0"/>
              <w:jc w:val="center"/>
              <w:rPr>
                <w:rFonts w:hint="eastAsia" w:ascii="仿宋" w:hAnsi="仿宋" w:eastAsia="仿宋"/>
                <w:lang w:eastAsia="zh-CN"/>
              </w:rPr>
            </w:pPr>
          </w:p>
        </w:tc>
        <w:tc>
          <w:tcPr>
            <w:tcW w:w="1942" w:type="dxa"/>
            <w:vMerge w:val="continue"/>
            <w:vAlign w:val="center"/>
          </w:tcPr>
          <w:p>
            <w:pPr>
              <w:spacing w:before="194" w:after="0"/>
              <w:jc w:val="center"/>
              <w:rPr>
                <w:rFonts w:hint="eastAsia" w:ascii="仿宋" w:hAnsi="仿宋" w:eastAsia="仿宋"/>
                <w:lang w:eastAsia="zh-CN"/>
              </w:rPr>
            </w:pPr>
          </w:p>
        </w:tc>
        <w:tc>
          <w:tcPr>
            <w:tcW w:w="5395" w:type="dxa"/>
            <w:vAlign w:val="center"/>
          </w:tcPr>
          <w:p>
            <w:pPr>
              <w:spacing w:before="194" w:after="0"/>
              <w:rPr>
                <w:rFonts w:hint="default" w:ascii="仿宋" w:hAnsi="仿宋" w:eastAsia="仿宋"/>
                <w:lang w:val="en-US" w:eastAsia="zh-CN"/>
              </w:rPr>
            </w:pPr>
            <w:r>
              <w:rPr>
                <w:rFonts w:hint="eastAsia" w:ascii="仿宋" w:hAnsi="仿宋" w:eastAsia="仿宋"/>
                <w:lang w:eastAsia="zh-CN"/>
              </w:rPr>
              <w:t>项目团队中配备专职技术人员的，得</w:t>
            </w:r>
            <w:r>
              <w:rPr>
                <w:rFonts w:hint="eastAsia" w:ascii="仿宋" w:hAnsi="仿宋" w:eastAsia="仿宋"/>
                <w:lang w:val="en-US" w:eastAsia="zh-CN"/>
              </w:rPr>
              <w:t>2分，未配备得0分；</w:t>
            </w:r>
          </w:p>
          <w:p>
            <w:pPr>
              <w:spacing w:before="194" w:after="0"/>
              <w:rPr>
                <w:rFonts w:hint="default" w:ascii="仿宋" w:hAnsi="仿宋" w:eastAsia="仿宋"/>
                <w:lang w:val="en-US" w:eastAsia="zh-CN"/>
              </w:rPr>
            </w:pPr>
            <w:r>
              <w:rPr>
                <w:rFonts w:hint="eastAsia" w:ascii="仿宋" w:hAnsi="仿宋" w:eastAsia="仿宋"/>
                <w:lang w:eastAsia="zh-CN"/>
              </w:rPr>
              <w:t>技术人员具有高级软件工程师证书的，得</w:t>
            </w:r>
            <w:r>
              <w:rPr>
                <w:rFonts w:hint="eastAsia" w:ascii="仿宋" w:hAnsi="仿宋" w:eastAsia="仿宋"/>
                <w:lang w:val="en-US" w:eastAsia="zh-CN"/>
              </w:rPr>
              <w:t>2分</w:t>
            </w:r>
            <w:r>
              <w:rPr>
                <w:rFonts w:hint="eastAsia" w:ascii="仿宋" w:hAnsi="仿宋" w:eastAsia="仿宋"/>
                <w:lang w:eastAsia="zh-CN"/>
              </w:rPr>
              <w:t>；技术人员具有信息安全保障人员认证证书的，得</w:t>
            </w:r>
            <w:r>
              <w:rPr>
                <w:rFonts w:hint="eastAsia" w:ascii="仿宋" w:hAnsi="仿宋" w:eastAsia="仿宋"/>
                <w:lang w:val="en-US" w:eastAsia="zh-CN"/>
              </w:rPr>
              <w:t>2分；</w:t>
            </w:r>
            <w:r>
              <w:rPr>
                <w:rFonts w:hint="eastAsia" w:ascii="仿宋" w:hAnsi="仿宋" w:eastAsia="仿宋"/>
                <w:lang w:eastAsia="zh-CN"/>
              </w:rPr>
              <w:t>技术人员具有数据库认证专家证书的，得</w:t>
            </w:r>
            <w:r>
              <w:rPr>
                <w:rFonts w:hint="eastAsia" w:ascii="仿宋" w:hAnsi="仿宋" w:eastAsia="仿宋"/>
                <w:lang w:val="en-US" w:eastAsia="zh-CN"/>
              </w:rPr>
              <w:t>2分；</w:t>
            </w:r>
            <w:r>
              <w:rPr>
                <w:rFonts w:hint="eastAsia" w:ascii="仿宋" w:hAnsi="仿宋" w:eastAsia="仿宋"/>
                <w:lang w:eastAsia="zh-CN"/>
              </w:rPr>
              <w:t>技术人员具有应用中间件证书的，得</w:t>
            </w:r>
            <w:r>
              <w:rPr>
                <w:rFonts w:hint="eastAsia" w:ascii="仿宋" w:hAnsi="仿宋" w:eastAsia="仿宋"/>
                <w:lang w:val="en-US" w:eastAsia="zh-CN"/>
              </w:rPr>
              <w:t>2分；</w:t>
            </w:r>
            <w:r>
              <w:rPr>
                <w:rFonts w:hint="eastAsia" w:ascii="仿宋" w:hAnsi="仿宋" w:eastAsia="仿宋"/>
                <w:lang w:eastAsia="zh-CN"/>
              </w:rPr>
              <w:t>技术人员具有ITSS IT服务工程师认证的，得</w:t>
            </w:r>
            <w:r>
              <w:rPr>
                <w:rFonts w:hint="eastAsia" w:ascii="仿宋" w:hAnsi="仿宋" w:eastAsia="仿宋"/>
                <w:lang w:val="en-US" w:eastAsia="zh-CN"/>
              </w:rPr>
              <w:t>2分。</w:t>
            </w:r>
          </w:p>
          <w:p>
            <w:pPr>
              <w:spacing w:before="194" w:after="0"/>
              <w:rPr>
                <w:rFonts w:hint="eastAsia" w:ascii="仿宋" w:hAnsi="仿宋" w:eastAsia="仿宋"/>
                <w:lang w:eastAsia="zh-CN"/>
              </w:rPr>
            </w:pPr>
            <w:r>
              <w:rPr>
                <w:rFonts w:hint="eastAsia" w:ascii="仿宋" w:hAnsi="仿宋" w:eastAsia="仿宋"/>
                <w:lang w:eastAsia="zh-CN"/>
              </w:rPr>
              <w:t>注：须提供配备专职技术人员的承诺函或其他证明材料，开标前6个月内任意一个月的该技术人员在投标单位的社保缴纳记录证明及有效证明材料复印件并加盖供应商公章。</w:t>
            </w:r>
          </w:p>
        </w:tc>
        <w:tc>
          <w:tcPr>
            <w:tcW w:w="1436" w:type="dxa"/>
            <w:noWrap/>
            <w:vAlign w:val="center"/>
          </w:tcPr>
          <w:p>
            <w:pPr>
              <w:spacing w:before="194" w:after="0"/>
              <w:jc w:val="center"/>
              <w:rPr>
                <w:rFonts w:hint="default" w:ascii="仿宋" w:hAnsi="仿宋" w:eastAsia="仿宋"/>
                <w:lang w:val="en-US" w:eastAsia="zh-CN"/>
              </w:rPr>
            </w:pPr>
            <w:r>
              <w:rPr>
                <w:rFonts w:hint="eastAsia" w:ascii="仿宋" w:hAnsi="仿宋" w:eastAsia="仿宋"/>
                <w:lang w:val="en-US" w:eastAsia="zh-CN"/>
              </w:rPr>
              <w:t>12</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2139" w:type="dxa"/>
            <w:vMerge w:val="restart"/>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技术部分（50分）</w:t>
            </w:r>
          </w:p>
        </w:tc>
        <w:tc>
          <w:tcPr>
            <w:tcW w:w="1942"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应用运维方案</w:t>
            </w:r>
          </w:p>
        </w:tc>
        <w:tc>
          <w:tcPr>
            <w:tcW w:w="5395" w:type="dxa"/>
            <w:vAlign w:val="center"/>
          </w:tcPr>
          <w:p>
            <w:pPr>
              <w:spacing w:before="194" w:after="0"/>
              <w:rPr>
                <w:rFonts w:hint="eastAsia" w:ascii="仿宋" w:hAnsi="仿宋" w:eastAsia="仿宋"/>
                <w:lang w:eastAsia="zh-CN"/>
              </w:rPr>
            </w:pPr>
            <w:r>
              <w:rPr>
                <w:rFonts w:hint="eastAsia" w:ascii="仿宋" w:hAnsi="仿宋" w:eastAsia="仿宋"/>
                <w:lang w:eastAsia="zh-CN"/>
              </w:rPr>
              <w:t>针对项目的应用运维提供详细的实施方案。</w:t>
            </w:r>
          </w:p>
          <w:p>
            <w:pPr>
              <w:spacing w:before="194" w:after="0"/>
              <w:rPr>
                <w:rFonts w:hint="eastAsia" w:ascii="仿宋" w:hAnsi="仿宋" w:eastAsia="仿宋"/>
                <w:lang w:eastAsia="zh-CN"/>
              </w:rPr>
            </w:pPr>
            <w:r>
              <w:rPr>
                <w:rFonts w:hint="eastAsia" w:ascii="仿宋" w:hAnsi="仿宋" w:eastAsia="仿宋"/>
                <w:lang w:eastAsia="zh-CN"/>
              </w:rPr>
              <w:t>1）对项目的应用运维工作充分理解，制定了完全符合应用运维工作要求的实施方案，针对性和可操作性强，完全满足采购需求，得10分；</w:t>
            </w:r>
          </w:p>
          <w:p>
            <w:pPr>
              <w:spacing w:before="194" w:after="0"/>
              <w:rPr>
                <w:rFonts w:hint="eastAsia" w:ascii="仿宋" w:hAnsi="仿宋" w:eastAsia="仿宋"/>
                <w:lang w:eastAsia="zh-CN"/>
              </w:rPr>
            </w:pPr>
            <w:r>
              <w:rPr>
                <w:rFonts w:hint="eastAsia" w:ascii="仿宋" w:hAnsi="仿宋" w:eastAsia="仿宋"/>
                <w:lang w:eastAsia="zh-CN"/>
              </w:rPr>
              <w:t>2）对项目的应用运维工作有分析理解，制定的应用运维实施方案全面但内容较简单制式，针对性有欠缺，基本满足采购需求，得7分；</w:t>
            </w:r>
          </w:p>
          <w:p>
            <w:pPr>
              <w:spacing w:before="194" w:after="0"/>
              <w:rPr>
                <w:rFonts w:hint="eastAsia" w:ascii="仿宋" w:hAnsi="仿宋" w:eastAsia="仿宋"/>
                <w:lang w:eastAsia="zh-CN"/>
              </w:rPr>
            </w:pPr>
            <w:r>
              <w:rPr>
                <w:rFonts w:hint="eastAsia" w:ascii="仿宋" w:hAnsi="仿宋" w:eastAsia="仿宋"/>
                <w:lang w:eastAsia="zh-CN"/>
              </w:rPr>
              <w:t>3）制定的应用运维实施方案有欠缺，部分满足采购需求，得4分；</w:t>
            </w:r>
          </w:p>
          <w:p>
            <w:pPr>
              <w:spacing w:before="194" w:after="0"/>
              <w:rPr>
                <w:rFonts w:hint="eastAsia" w:ascii="仿宋" w:hAnsi="仿宋" w:eastAsia="仿宋"/>
                <w:lang w:eastAsia="zh-CN"/>
              </w:rPr>
            </w:pPr>
            <w:r>
              <w:rPr>
                <w:rFonts w:hint="eastAsia" w:ascii="仿宋" w:hAnsi="仿宋" w:eastAsia="仿宋"/>
                <w:lang w:eastAsia="zh-CN"/>
              </w:rPr>
              <w:t>4）未提供或方案不合理，得0分。</w:t>
            </w:r>
          </w:p>
          <w:p>
            <w:pPr>
              <w:spacing w:after="0"/>
              <w:rPr>
                <w:rFonts w:hint="eastAsia" w:ascii="仿宋" w:hAnsi="仿宋" w:eastAsia="仿宋"/>
                <w:lang w:eastAsia="zh-CN"/>
              </w:rPr>
            </w:pP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10</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2139" w:type="dxa"/>
            <w:vMerge w:val="continue"/>
            <w:vAlign w:val="center"/>
          </w:tcPr>
          <w:p>
            <w:pPr>
              <w:spacing w:before="194" w:after="0"/>
              <w:jc w:val="center"/>
              <w:rPr>
                <w:rFonts w:hint="eastAsia" w:ascii="仿宋" w:hAnsi="仿宋" w:eastAsia="仿宋"/>
                <w:lang w:eastAsia="zh-CN"/>
              </w:rPr>
            </w:pPr>
          </w:p>
        </w:tc>
        <w:tc>
          <w:tcPr>
            <w:tcW w:w="1942"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客服服务方案</w:t>
            </w:r>
          </w:p>
        </w:tc>
        <w:tc>
          <w:tcPr>
            <w:tcW w:w="5395" w:type="dxa"/>
            <w:vAlign w:val="center"/>
          </w:tcPr>
          <w:p>
            <w:pPr>
              <w:spacing w:before="194" w:after="0"/>
              <w:rPr>
                <w:rFonts w:hint="eastAsia" w:ascii="仿宋" w:hAnsi="仿宋" w:eastAsia="仿宋"/>
                <w:lang w:eastAsia="zh-CN"/>
              </w:rPr>
            </w:pPr>
            <w:r>
              <w:rPr>
                <w:rFonts w:hint="eastAsia" w:ascii="仿宋" w:hAnsi="仿宋" w:eastAsia="仿宋"/>
                <w:lang w:eastAsia="zh-CN"/>
              </w:rPr>
              <w:t>针对项目的客服服务提供详细的实施方案。</w:t>
            </w:r>
          </w:p>
          <w:p>
            <w:pPr>
              <w:spacing w:before="194" w:after="0"/>
              <w:rPr>
                <w:rFonts w:hint="eastAsia" w:ascii="仿宋" w:hAnsi="仿宋" w:eastAsia="仿宋"/>
                <w:lang w:eastAsia="zh-CN"/>
              </w:rPr>
            </w:pPr>
            <w:r>
              <w:rPr>
                <w:rFonts w:hint="eastAsia" w:ascii="仿宋" w:hAnsi="仿宋" w:eastAsia="仿宋"/>
                <w:lang w:eastAsia="zh-CN"/>
              </w:rPr>
              <w:t>1）对项目的客服服务工作充分理解，制定了完全符合客服服务工作要求的实施方案，针对性和可操作性强，完全满足采购需求，得10分；</w:t>
            </w:r>
          </w:p>
          <w:p>
            <w:pPr>
              <w:spacing w:before="194" w:after="0"/>
              <w:rPr>
                <w:rFonts w:hint="eastAsia" w:ascii="仿宋" w:hAnsi="仿宋" w:eastAsia="仿宋"/>
                <w:lang w:eastAsia="zh-CN"/>
              </w:rPr>
            </w:pPr>
            <w:r>
              <w:rPr>
                <w:rFonts w:hint="eastAsia" w:ascii="仿宋" w:hAnsi="仿宋" w:eastAsia="仿宋"/>
                <w:lang w:eastAsia="zh-CN"/>
              </w:rPr>
              <w:t>2）对项目的客服服务工作有分析理解，制定的客服服务实施方案全面但内容较简单制式，针对性有欠缺，基本满足采购需求，得7分；</w:t>
            </w:r>
          </w:p>
          <w:p>
            <w:pPr>
              <w:spacing w:before="194" w:after="0"/>
              <w:rPr>
                <w:rFonts w:hint="eastAsia" w:ascii="仿宋" w:hAnsi="仿宋" w:eastAsia="仿宋"/>
                <w:lang w:eastAsia="zh-CN"/>
              </w:rPr>
            </w:pPr>
            <w:r>
              <w:rPr>
                <w:rFonts w:hint="eastAsia" w:ascii="仿宋" w:hAnsi="仿宋" w:eastAsia="仿宋"/>
                <w:lang w:eastAsia="zh-CN"/>
              </w:rPr>
              <w:t>3）制定的客服服务实施方案有欠缺，部分满足采购需求，得4分；</w:t>
            </w:r>
          </w:p>
          <w:p>
            <w:pPr>
              <w:spacing w:before="194" w:after="0"/>
              <w:rPr>
                <w:rFonts w:hint="eastAsia" w:ascii="仿宋" w:hAnsi="仿宋" w:eastAsia="仿宋"/>
                <w:lang w:eastAsia="zh-CN"/>
              </w:rPr>
            </w:pPr>
            <w:r>
              <w:rPr>
                <w:rFonts w:hint="eastAsia" w:ascii="仿宋" w:hAnsi="仿宋" w:eastAsia="仿宋"/>
                <w:lang w:eastAsia="zh-CN"/>
              </w:rPr>
              <w:t>4）未提供或方案不合理，得0分。</w:t>
            </w: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10</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2139" w:type="dxa"/>
            <w:vMerge w:val="continue"/>
            <w:vAlign w:val="center"/>
          </w:tcPr>
          <w:p>
            <w:pPr>
              <w:spacing w:before="194" w:after="0"/>
              <w:jc w:val="center"/>
              <w:rPr>
                <w:rFonts w:hint="eastAsia" w:ascii="仿宋" w:hAnsi="仿宋" w:eastAsia="仿宋"/>
                <w:lang w:eastAsia="zh-CN"/>
              </w:rPr>
            </w:pPr>
          </w:p>
        </w:tc>
        <w:tc>
          <w:tcPr>
            <w:tcW w:w="1942"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运维服务方案</w:t>
            </w:r>
          </w:p>
        </w:tc>
        <w:tc>
          <w:tcPr>
            <w:tcW w:w="5395" w:type="dxa"/>
            <w:vAlign w:val="center"/>
          </w:tcPr>
          <w:p>
            <w:pPr>
              <w:pStyle w:val="16"/>
              <w:snapToGrid w:val="0"/>
              <w:rPr>
                <w:rFonts w:hint="eastAsia" w:ascii="仿宋" w:hAnsi="仿宋" w:eastAsia="仿宋" w:cs="宋体"/>
                <w:sz w:val="21"/>
                <w:szCs w:val="21"/>
              </w:rPr>
            </w:pPr>
            <w:r>
              <w:rPr>
                <w:rFonts w:hint="eastAsia" w:ascii="仿宋" w:hAnsi="仿宋" w:eastAsia="仿宋" w:cs="宋体"/>
                <w:sz w:val="21"/>
                <w:szCs w:val="21"/>
              </w:rPr>
              <w:t>针对项目的运维服务提供详细的实施方案。</w:t>
            </w:r>
          </w:p>
          <w:p>
            <w:pPr>
              <w:pStyle w:val="16"/>
              <w:snapToGrid w:val="0"/>
              <w:rPr>
                <w:rFonts w:hint="eastAsia" w:ascii="仿宋" w:hAnsi="仿宋" w:eastAsia="仿宋" w:cs="宋体"/>
                <w:sz w:val="21"/>
                <w:szCs w:val="21"/>
              </w:rPr>
            </w:pPr>
            <w:r>
              <w:rPr>
                <w:rFonts w:hint="eastAsia" w:ascii="仿宋" w:hAnsi="仿宋" w:eastAsia="仿宋" w:cs="宋体"/>
                <w:sz w:val="21"/>
                <w:szCs w:val="21"/>
              </w:rPr>
              <w:t>1）对项目的运维服务工作充分理解，制定了完全符合运维服务工作要求的实施方案，针对性和可操作性强，完全满足采购需求，得10分；</w:t>
            </w:r>
          </w:p>
          <w:p>
            <w:pPr>
              <w:pStyle w:val="16"/>
              <w:snapToGrid w:val="0"/>
              <w:rPr>
                <w:rFonts w:hint="eastAsia" w:ascii="仿宋" w:hAnsi="仿宋" w:eastAsia="仿宋" w:cs="宋体"/>
                <w:sz w:val="21"/>
                <w:szCs w:val="21"/>
              </w:rPr>
            </w:pPr>
            <w:r>
              <w:rPr>
                <w:rFonts w:hint="eastAsia" w:ascii="仿宋" w:hAnsi="仿宋" w:eastAsia="仿宋" w:cs="宋体"/>
                <w:sz w:val="21"/>
                <w:szCs w:val="21"/>
              </w:rPr>
              <w:t>2）对项目的运维服务工作有分析理解，制定的运维服务实施方案全面但内容较简单制式，针对性有欠缺，基本满足采购需求，得7分；</w:t>
            </w:r>
          </w:p>
          <w:p>
            <w:pPr>
              <w:pStyle w:val="16"/>
              <w:snapToGrid w:val="0"/>
              <w:rPr>
                <w:rFonts w:hint="eastAsia" w:ascii="仿宋" w:hAnsi="仿宋" w:eastAsia="仿宋" w:cs="宋体"/>
                <w:sz w:val="21"/>
                <w:szCs w:val="21"/>
              </w:rPr>
            </w:pPr>
            <w:r>
              <w:rPr>
                <w:rFonts w:hint="eastAsia" w:ascii="仿宋" w:hAnsi="仿宋" w:eastAsia="仿宋" w:cs="宋体"/>
                <w:sz w:val="21"/>
                <w:szCs w:val="21"/>
              </w:rPr>
              <w:t>3）制定的运维服务实施方案有欠缺，部分满足采购需求，得4分；</w:t>
            </w:r>
          </w:p>
          <w:p>
            <w:pPr>
              <w:pStyle w:val="16"/>
              <w:snapToGrid w:val="0"/>
              <w:rPr>
                <w:rFonts w:hint="eastAsia" w:ascii="仿宋" w:hAnsi="仿宋" w:eastAsia="仿宋"/>
                <w:sz w:val="21"/>
                <w:szCs w:val="21"/>
              </w:rPr>
            </w:pPr>
            <w:r>
              <w:rPr>
                <w:rFonts w:hint="eastAsia" w:ascii="仿宋" w:hAnsi="仿宋" w:eastAsia="仿宋" w:cs="宋体"/>
                <w:sz w:val="21"/>
                <w:szCs w:val="21"/>
              </w:rPr>
              <w:t>4）未提供或方案不合理，得0分。</w:t>
            </w: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10</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39" w:type="dxa"/>
            <w:vMerge w:val="continue"/>
            <w:vAlign w:val="center"/>
          </w:tcPr>
          <w:p>
            <w:pPr>
              <w:spacing w:before="194" w:after="0"/>
              <w:jc w:val="center"/>
              <w:rPr>
                <w:rFonts w:hint="eastAsia" w:ascii="仿宋" w:hAnsi="仿宋" w:eastAsia="仿宋"/>
                <w:lang w:eastAsia="zh-CN"/>
              </w:rPr>
            </w:pPr>
          </w:p>
        </w:tc>
        <w:tc>
          <w:tcPr>
            <w:tcW w:w="1942"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应急响应服务方案</w:t>
            </w:r>
          </w:p>
        </w:tc>
        <w:tc>
          <w:tcPr>
            <w:tcW w:w="5395" w:type="dxa"/>
            <w:vAlign w:val="center"/>
          </w:tcPr>
          <w:p>
            <w:pPr>
              <w:spacing w:before="194" w:after="0"/>
              <w:rPr>
                <w:rFonts w:hint="eastAsia" w:ascii="仿宋" w:hAnsi="仿宋" w:eastAsia="仿宋"/>
                <w:lang w:eastAsia="zh-CN"/>
              </w:rPr>
            </w:pPr>
            <w:r>
              <w:rPr>
                <w:rFonts w:hint="eastAsia" w:ascii="仿宋" w:hAnsi="仿宋" w:eastAsia="仿宋"/>
                <w:lang w:eastAsia="zh-CN"/>
              </w:rPr>
              <w:t>针对项目现有环境提供适合本项目应急场景的运维应急响应服务方案。</w:t>
            </w:r>
          </w:p>
          <w:p>
            <w:pPr>
              <w:spacing w:before="194" w:after="0"/>
              <w:rPr>
                <w:rFonts w:hint="eastAsia" w:ascii="仿宋" w:hAnsi="仿宋" w:eastAsia="仿宋"/>
                <w:lang w:eastAsia="zh-CN"/>
              </w:rPr>
            </w:pPr>
            <w:r>
              <w:rPr>
                <w:rFonts w:hint="eastAsia" w:ascii="仿宋" w:hAnsi="仿宋" w:eastAsia="仿宋"/>
                <w:lang w:eastAsia="zh-CN"/>
              </w:rPr>
              <w:t>方案详细、合理、丰富、清晰、科学合理、可行性强，各种应急场景准备措施均详细、科学，得10分；方案科学合理、可行但不详细，各种应急场景准备措施有但不详细得7分；方案有但不可行，或未提供各种应急场景准备措施的，得4分。</w:t>
            </w:r>
          </w:p>
          <w:p>
            <w:pPr>
              <w:spacing w:before="194" w:after="0"/>
              <w:rPr>
                <w:rFonts w:hint="eastAsia" w:ascii="仿宋" w:hAnsi="仿宋" w:eastAsia="仿宋"/>
                <w:lang w:eastAsia="zh-CN"/>
              </w:rPr>
            </w:pPr>
            <w:r>
              <w:rPr>
                <w:rFonts w:hint="eastAsia" w:ascii="仿宋" w:hAnsi="仿宋" w:eastAsia="仿宋"/>
                <w:lang w:eastAsia="zh-CN"/>
              </w:rPr>
              <w:t>未提供或方案内容与本项目的采购需求完全无关的，得0分。</w:t>
            </w: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10</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2139" w:type="dxa"/>
            <w:vMerge w:val="continue"/>
            <w:vAlign w:val="center"/>
          </w:tcPr>
          <w:p>
            <w:pPr>
              <w:spacing w:before="194" w:after="0"/>
              <w:jc w:val="center"/>
              <w:rPr>
                <w:rFonts w:hint="eastAsia" w:ascii="仿宋" w:hAnsi="仿宋" w:eastAsia="仿宋"/>
                <w:lang w:eastAsia="zh-CN"/>
              </w:rPr>
            </w:pPr>
          </w:p>
        </w:tc>
        <w:tc>
          <w:tcPr>
            <w:tcW w:w="1942"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运维服务质量考核方案</w:t>
            </w:r>
          </w:p>
        </w:tc>
        <w:tc>
          <w:tcPr>
            <w:tcW w:w="5395" w:type="dxa"/>
            <w:vAlign w:val="center"/>
          </w:tcPr>
          <w:p>
            <w:pPr>
              <w:spacing w:before="194" w:after="0"/>
              <w:rPr>
                <w:rFonts w:hint="eastAsia" w:ascii="仿宋" w:hAnsi="仿宋" w:eastAsia="仿宋"/>
                <w:lang w:eastAsia="zh-CN"/>
              </w:rPr>
            </w:pPr>
            <w:r>
              <w:rPr>
                <w:rFonts w:hint="eastAsia" w:ascii="仿宋" w:hAnsi="仿宋" w:eastAsia="仿宋"/>
                <w:lang w:eastAsia="zh-CN"/>
              </w:rPr>
              <w:t>针对项目定制提供切实可行的运维服务质量考核方案。</w:t>
            </w:r>
          </w:p>
          <w:p>
            <w:pPr>
              <w:spacing w:before="194" w:after="0"/>
              <w:rPr>
                <w:rFonts w:hint="eastAsia" w:ascii="仿宋" w:hAnsi="仿宋" w:eastAsia="仿宋"/>
                <w:lang w:eastAsia="zh-CN"/>
              </w:rPr>
            </w:pPr>
            <w:r>
              <w:rPr>
                <w:rFonts w:hint="eastAsia" w:ascii="仿宋" w:hAnsi="仿宋" w:eastAsia="仿宋"/>
                <w:lang w:eastAsia="zh-CN"/>
              </w:rPr>
              <w:t>方案内容详细且科学合理、可行性强，保证运维目标可管理、可量化，保证设备平稳运行的措施详细可行，得10分；方案内容科学合理，可行，但运维目标有但可管理和可量化内容没有，或保证设备平稳运行的措施不详细的，得7分；方案内容有，但是运维目标没有或保证设备平稳运行的措施没有的，得4分。</w:t>
            </w:r>
          </w:p>
          <w:p>
            <w:pPr>
              <w:spacing w:before="194" w:after="0"/>
              <w:rPr>
                <w:rFonts w:hint="eastAsia" w:ascii="仿宋" w:hAnsi="仿宋" w:eastAsia="仿宋"/>
                <w:lang w:eastAsia="zh-CN"/>
              </w:rPr>
            </w:pPr>
            <w:r>
              <w:rPr>
                <w:rFonts w:hint="eastAsia" w:ascii="仿宋" w:hAnsi="仿宋" w:eastAsia="仿宋"/>
                <w:lang w:eastAsia="zh-CN"/>
              </w:rPr>
              <w:t>未提供或方案内容与本项目的采购需求完全无关的，得0分。</w:t>
            </w:r>
          </w:p>
        </w:tc>
        <w:tc>
          <w:tcPr>
            <w:tcW w:w="1436" w:type="dxa"/>
            <w:noWrap/>
            <w:vAlign w:val="center"/>
          </w:tcPr>
          <w:p>
            <w:pPr>
              <w:spacing w:before="194" w:after="0"/>
              <w:jc w:val="center"/>
              <w:rPr>
                <w:rFonts w:hint="eastAsia" w:ascii="仿宋" w:hAnsi="仿宋" w:eastAsia="仿宋"/>
                <w:lang w:eastAsia="zh-CN"/>
              </w:rPr>
            </w:pPr>
            <w:r>
              <w:rPr>
                <w:rFonts w:hint="eastAsia" w:ascii="仿宋" w:hAnsi="仿宋" w:eastAsia="仿宋"/>
                <w:lang w:eastAsia="zh-CN"/>
              </w:rPr>
              <w:t>10</w:t>
            </w:r>
          </w:p>
        </w:tc>
        <w:tc>
          <w:tcPr>
            <w:tcW w:w="1950" w:type="dxa"/>
            <w:noWrap/>
            <w:vAlign w:val="center"/>
          </w:tcPr>
          <w:p>
            <w:pPr>
              <w:spacing w:before="194" w:after="0"/>
              <w:jc w:val="center"/>
              <w:rPr>
                <w:rFonts w:hint="eastAsia" w:ascii="仿宋" w:hAnsi="仿宋" w:eastAsia="仿宋"/>
                <w:lang w:eastAsia="zh-CN"/>
              </w:rPr>
            </w:pPr>
          </w:p>
        </w:tc>
        <w:tc>
          <w:tcPr>
            <w:tcW w:w="1316" w:type="dxa"/>
            <w:noWrap/>
            <w:vAlign w:val="center"/>
          </w:tcPr>
          <w:p>
            <w:pPr>
              <w:spacing w:before="194" w:after="0"/>
              <w:jc w:val="center"/>
              <w:rPr>
                <w:rFonts w:hint="eastAsia" w:ascii="仿宋" w:hAnsi="仿宋" w:eastAsia="仿宋"/>
                <w:lang w:eastAsia="zh-CN"/>
              </w:rPr>
            </w:pPr>
          </w:p>
        </w:tc>
      </w:tr>
    </w:tbl>
    <w:p>
      <w:pPr>
        <w:spacing w:before="68" w:line="219" w:lineRule="auto"/>
        <w:ind w:left="445"/>
        <w:rPr>
          <w:rFonts w:hint="eastAsia" w:ascii="仿宋" w:hAnsi="仿宋" w:eastAsia="仿宋" w:cs="宋体"/>
          <w:lang w:eastAsia="zh-CN"/>
        </w:rPr>
      </w:pPr>
      <w:r>
        <w:rPr>
          <w:rFonts w:ascii="仿宋" w:hAnsi="仿宋" w:eastAsia="仿宋" w:cs="宋体"/>
          <w:spacing w:val="-1"/>
          <w:lang w:eastAsia="zh-CN"/>
        </w:rPr>
        <w:t>备注：1.请对照每个“打分项”提供相关材料和证实附件。2.汇编材料目录及其内容请按照“打分项”顺序排序，页码清晰。</w:t>
      </w:r>
    </w:p>
    <w:sectPr>
      <w:footerReference r:id="rId5" w:type="default"/>
      <w:pgSz w:w="16840" w:h="11900"/>
      <w:pgMar w:top="1011" w:right="1544" w:bottom="1296" w:left="1334" w:header="0" w:footer="98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gency FB"/>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Agency FB">
    <w:panose1 w:val="020B0804020202020204"/>
    <w:charset w:val="00"/>
    <w:family w:val="auto"/>
    <w:pitch w:val="default"/>
    <w:sig w:usb0="00000003" w:usb1="00000000" w:usb2="00000000" w:usb3="00000000" w:csb0="2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宋体" w:hAnsi="宋体" w:eastAsia="宋体" w:cs="宋体"/>
                              <w:sz w:val="28"/>
                              <w:szCs w:val="28"/>
                            </w:rPr>
                            <w:id w:val="-1313950327"/>
                          </w:sdtPr>
                          <w:sdtEndPr>
                            <w:rPr>
                              <w:rFonts w:ascii="宋体" w:hAnsi="宋体" w:eastAsia="宋体" w:cs="宋体"/>
                              <w:sz w:val="28"/>
                              <w:szCs w:val="28"/>
                            </w:rPr>
                          </w:sdtEndPr>
                          <w:sdtContent>
                            <w:p>
                              <w:pPr>
                                <w:pStyle w:val="4"/>
                                <w:jc w:val="center"/>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eastAsia="zh-CN"/>
                                </w:rPr>
                                <w:t>2</w:t>
                              </w:r>
                              <w:r>
                                <w:rPr>
                                  <w:rFonts w:ascii="宋体" w:hAnsi="宋体" w:eastAsia="宋体" w:cs="宋体"/>
                                  <w:sz w:val="28"/>
                                  <w:szCs w:val="28"/>
                                </w:rPr>
                                <w:fldChar w:fldCharType="end"/>
                              </w:r>
                            </w:p>
                          </w:sdtContent>
                        </w:sdt>
                        <w:p>
                          <w:pPr>
                            <w:rPr>
                              <w:rFonts w:ascii="宋体" w:hAnsi="宋体" w:eastAsia="宋体" w:cs="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rPr>
                        <w:rFonts w:ascii="宋体" w:hAnsi="宋体" w:eastAsia="宋体" w:cs="宋体"/>
                        <w:sz w:val="28"/>
                        <w:szCs w:val="28"/>
                      </w:rPr>
                      <w:id w:val="-1313950327"/>
                    </w:sdtPr>
                    <w:sdtEndPr>
                      <w:rPr>
                        <w:rFonts w:ascii="宋体" w:hAnsi="宋体" w:eastAsia="宋体" w:cs="宋体"/>
                        <w:sz w:val="28"/>
                        <w:szCs w:val="28"/>
                      </w:rPr>
                    </w:sdtEndPr>
                    <w:sdtContent>
                      <w:p>
                        <w:pPr>
                          <w:pStyle w:val="4"/>
                          <w:jc w:val="center"/>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eastAsia="zh-CN"/>
                          </w:rPr>
                          <w:t>2</w:t>
                        </w:r>
                        <w:r>
                          <w:rPr>
                            <w:rFonts w:ascii="宋体" w:hAnsi="宋体" w:eastAsia="宋体" w:cs="宋体"/>
                            <w:sz w:val="28"/>
                            <w:szCs w:val="28"/>
                          </w:rPr>
                          <w:fldChar w:fldCharType="end"/>
                        </w:r>
                      </w:p>
                    </w:sdtContent>
                  </w:sdt>
                  <w:p>
                    <w:pPr>
                      <w:rPr>
                        <w:rFonts w:ascii="宋体" w:hAnsi="宋体" w:eastAsia="宋体" w:cs="宋体"/>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4579F"/>
    <w:rsid w:val="000A54DF"/>
    <w:rsid w:val="000C52C7"/>
    <w:rsid w:val="00145707"/>
    <w:rsid w:val="001D0C99"/>
    <w:rsid w:val="00200206"/>
    <w:rsid w:val="00200AF4"/>
    <w:rsid w:val="0020737D"/>
    <w:rsid w:val="0024342F"/>
    <w:rsid w:val="002606C5"/>
    <w:rsid w:val="00286B22"/>
    <w:rsid w:val="00335986"/>
    <w:rsid w:val="0039326C"/>
    <w:rsid w:val="00497846"/>
    <w:rsid w:val="004A2578"/>
    <w:rsid w:val="004C14F3"/>
    <w:rsid w:val="00523EC1"/>
    <w:rsid w:val="00577895"/>
    <w:rsid w:val="005909FB"/>
    <w:rsid w:val="005B1B94"/>
    <w:rsid w:val="005D5A17"/>
    <w:rsid w:val="006D3DAE"/>
    <w:rsid w:val="0071757F"/>
    <w:rsid w:val="00783F76"/>
    <w:rsid w:val="007F44A6"/>
    <w:rsid w:val="00883733"/>
    <w:rsid w:val="00910F2A"/>
    <w:rsid w:val="009639F2"/>
    <w:rsid w:val="00984963"/>
    <w:rsid w:val="009B2B86"/>
    <w:rsid w:val="009D030D"/>
    <w:rsid w:val="009D078B"/>
    <w:rsid w:val="00A033B4"/>
    <w:rsid w:val="00A07D56"/>
    <w:rsid w:val="00A65CFB"/>
    <w:rsid w:val="00B603E7"/>
    <w:rsid w:val="00B84EDB"/>
    <w:rsid w:val="00BA778F"/>
    <w:rsid w:val="00BD1A00"/>
    <w:rsid w:val="00C35E2E"/>
    <w:rsid w:val="00C46987"/>
    <w:rsid w:val="00C64EBC"/>
    <w:rsid w:val="00C70252"/>
    <w:rsid w:val="00DB3DC5"/>
    <w:rsid w:val="00DC7886"/>
    <w:rsid w:val="00DE31C0"/>
    <w:rsid w:val="00E01A61"/>
    <w:rsid w:val="00EA688E"/>
    <w:rsid w:val="00F20F1C"/>
    <w:rsid w:val="00F279DA"/>
    <w:rsid w:val="00F85D81"/>
    <w:rsid w:val="00FB203B"/>
    <w:rsid w:val="00FE4104"/>
    <w:rsid w:val="32FE6F39"/>
    <w:rsid w:val="3CAC2590"/>
    <w:rsid w:val="403D28E6"/>
    <w:rsid w:val="491B64D9"/>
    <w:rsid w:val="4FFF7CDE"/>
    <w:rsid w:val="5CFEADBE"/>
    <w:rsid w:val="5DFB9396"/>
    <w:rsid w:val="649B3FB2"/>
    <w:rsid w:val="729FAE26"/>
    <w:rsid w:val="73FF11F7"/>
    <w:rsid w:val="75F1F411"/>
    <w:rsid w:val="76A5B683"/>
    <w:rsid w:val="7B4F7C98"/>
    <w:rsid w:val="7FF76AF7"/>
    <w:rsid w:val="9A3FFA2D"/>
    <w:rsid w:val="BEBF5DF8"/>
    <w:rsid w:val="C535F24C"/>
    <w:rsid w:val="D69D725B"/>
    <w:rsid w:val="D6E3E537"/>
    <w:rsid w:val="DF37CB51"/>
    <w:rsid w:val="EFA393FD"/>
    <w:rsid w:val="EFFFFF19"/>
    <w:rsid w:val="F7B8CBF5"/>
    <w:rsid w:val="F8E3F8CE"/>
    <w:rsid w:val="FA9EB478"/>
    <w:rsid w:val="FBBDC2AD"/>
    <w:rsid w:val="FE3FC9F7"/>
    <w:rsid w:val="FEBF4C9D"/>
    <w:rsid w:val="FFB3E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tabs>
        <w:tab w:val="center" w:pos="4153"/>
        <w:tab w:val="right" w:pos="8306"/>
      </w:tabs>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9"/>
      <w:szCs w:val="29"/>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customStyle="1" w:styleId="16">
    <w:name w:val="无间隔11"/>
    <w:qFormat/>
    <w:uiPriority w:val="0"/>
    <w:pPr>
      <w:widowControl w:val="0"/>
      <w:adjustRightInd w:val="0"/>
      <w:spacing w:after="0" w:line="240" w:lineRule="auto"/>
      <w:jc w:val="both"/>
    </w:pPr>
    <w:rPr>
      <w:rFonts w:ascii="Times New Roman" w:hAnsi="Times New Roman" w:eastAsia="宋体" w:cs="Times New Roman"/>
      <w:sz w:val="24"/>
      <w:szCs w:val="22"/>
      <w:lang w:val="en-US" w:eastAsia="zh-CN" w:bidi="ar-SA"/>
    </w:rPr>
  </w:style>
  <w:style w:type="character" w:customStyle="1" w:styleId="17">
    <w:name w:val="批注文字 字符"/>
    <w:basedOn w:val="10"/>
    <w:link w:val="2"/>
    <w:qFormat/>
    <w:uiPriority w:val="99"/>
    <w:rPr>
      <w:snapToGrid w:val="0"/>
      <w:color w:val="000000"/>
      <w:sz w:val="21"/>
      <w:szCs w:val="21"/>
      <w:lang w:eastAsia="en-US"/>
    </w:rPr>
  </w:style>
  <w:style w:type="character" w:customStyle="1" w:styleId="18">
    <w:name w:val="批注主题 字符"/>
    <w:basedOn w:val="17"/>
    <w:link w:val="7"/>
    <w:semiHidden/>
    <w:qFormat/>
    <w:uiPriority w:val="99"/>
    <w:rPr>
      <w:b/>
      <w:bCs/>
      <w:snapToGrid w:val="0"/>
      <w:color w:val="000000"/>
      <w:sz w:val="21"/>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3142</Words>
  <Characters>3264</Characters>
  <Lines>164</Lines>
  <Paragraphs>142</Paragraphs>
  <TotalTime>1</TotalTime>
  <ScaleCrop>false</ScaleCrop>
  <LinksUpToDate>false</LinksUpToDate>
  <CharactersWithSpaces>3272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2025-12-06T22:37:00Z</dcterms:created>
  <dc:creator>陶然</dc:creator>
  <cp:lastModifiedBy>lisl</cp:lastModifiedBy>
  <cp:lastPrinted>2025-12-06T06:38:00Z</cp:lastPrinted>
  <dcterms:modified xsi:type="dcterms:W3CDTF">2025-12-05T15:29:41Z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2025-12-03T14:07:27Z</vt:filetime>
  </property>
  <property fmtid="{D5CDD505-2E9C-101B-9397-08002B2CF9AE}" pid="4" name="UsrData">
    <vt:lpwstr>692fd39b24c4ba001f583182wl</vt:lpwstr>
  </property>
  <property fmtid="{D5CDD505-2E9C-101B-9397-08002B2CF9AE}" pid="5" name="KSOProductBuildVer">
    <vt:lpwstr>2052-11.8.2.10125</vt:lpwstr>
  </property>
  <property fmtid="{D5CDD505-2E9C-101B-9397-08002B2CF9AE}" pid="6" name="KSOTemplateDocerSaveRecord">
    <vt:lpwstr>eyJoZGlkIjoiYjc4MWQ5NmFlNDBkNjQxNTgwYTU1MTU4ZWUyZjI5ZGEiLCJ1c2VySWQiOiI0NzIyMDU3OTgifQ==</vt:lpwstr>
  </property>
  <property fmtid="{D5CDD505-2E9C-101B-9397-08002B2CF9AE}" pid="7" name="ICV">
    <vt:lpwstr>B946690CD1FD4120949F17C9853CB0BB_13</vt:lpwstr>
  </property>
</Properties>
</file>