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w w:val="98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333333"/>
          <w:w w:val="98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w w:val="98"/>
          <w:sz w:val="36"/>
          <w:szCs w:val="36"/>
          <w:lang w:eastAsia="zh-CN"/>
        </w:rPr>
        <w:t>世界标准日宣传活动承办机构</w:t>
      </w:r>
      <w:r>
        <w:rPr>
          <w:rFonts w:hint="eastAsia" w:ascii="方正小标宋简体" w:hAnsi="黑体" w:eastAsia="方正小标宋简体" w:cs="Times New Roman"/>
          <w:w w:val="98"/>
          <w:sz w:val="36"/>
          <w:szCs w:val="36"/>
        </w:rPr>
        <w:t>遴选综合评分细则</w:t>
      </w:r>
    </w:p>
    <w:tbl>
      <w:tblPr>
        <w:tblStyle w:val="7"/>
        <w:tblpPr w:leftFromText="180" w:rightFromText="180" w:vertAnchor="text" w:horzAnchor="margin" w:tblpXSpec="center" w:tblpY="587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50"/>
        <w:gridCol w:w="573"/>
        <w:gridCol w:w="4858"/>
        <w:gridCol w:w="734"/>
        <w:gridCol w:w="1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机构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1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资格审查</w:t>
            </w:r>
          </w:p>
        </w:tc>
        <w:tc>
          <w:tcPr>
            <w:tcW w:w="80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要求内容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评价纪要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0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具备中华人民共和国境内注册的独立法人证书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eastAsia="zh-CN"/>
              </w:rPr>
              <w:t>或经民政部门备案登记成立的社会团体组织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。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0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未被列为失信名单；五年内未发生过质量责任事故或人员死亡安全生产事故。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如资格审查中有不符合项，则判定为资格审查不合格。通过资格审查的，将进入综合评分环节。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结论：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综合评分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评价方法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评价纪要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价格情况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将所有申报遴选机构的报价按照由低到高的顺序排列，依次得分为20分，15分，10分，5分，第5名（含）以后不得分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，满分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本单位拥有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省级标准化方面公共管理项目专家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每1名加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满分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。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结合辽宁产业实际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主导过国际标准、国家标准、行业标准、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辽宁省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地方标准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、团体标准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制修订工作的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或承办过省级以上标准化活动的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得20-30分；参与过以上标准制修订的得10-20分；参与过其他省级以上标准化活动的得0-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，满分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。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方案</w:t>
            </w:r>
          </w:p>
        </w:tc>
        <w:tc>
          <w:tcPr>
            <w:tcW w:w="5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整体内容：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对工作方案整体内容的完整性和可行性进行评审，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满分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工作计划：进度安排是否合理，人员的能力和数量是否满足编制要求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，编制内容是否全面完整，提交省市场监管局的相关材料是否齐全规范，满分15分。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综合科研实力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（近3年）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承担国家、省（部）级、市级相关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标准化质量管理现场教学、人才赋能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，获得授权的国内外相关专利或著作权，在国内一级学报、国内核心期刊上发表相关文章或出版著作等，每涉及一个专业领域得2分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满分10分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/>
              </w:rPr>
              <w:t>。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总得分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综合评价组组长：                 组员：                       时间：</w:t>
            </w:r>
          </w:p>
        </w:tc>
      </w:tr>
    </w:tbl>
    <w:p>
      <w:pPr>
        <w:widowControl/>
        <w:tabs>
          <w:tab w:val="left" w:pos="720"/>
        </w:tabs>
        <w:spacing w:line="520" w:lineRule="exact"/>
        <w:jc w:val="left"/>
        <w:rPr>
          <w:rFonts w:ascii="黑体" w:hAnsi="黑体" w:eastAsia="黑体" w:cs="宋体"/>
          <w:color w:val="333333"/>
          <w:kern w:val="0"/>
          <w:sz w:val="32"/>
          <w:szCs w:val="32"/>
          <w:u w:val="single"/>
        </w:rPr>
      </w:pPr>
    </w:p>
    <w:sectPr>
      <w:footerReference r:id="rId3" w:type="default"/>
      <w:pgSz w:w="11906" w:h="16838"/>
      <w:pgMar w:top="1985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840840"/>
      <w:showingPlcHdr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t xml:space="preserve">     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false"/>
  <w:bordersDoNotSurroundFooter w:val="false"/>
  <w:documentProtection w:enforcement="0"/>
  <w:defaultTabStop w:val="420"/>
  <w:drawingGridHorizontalSpacing w:val="201"/>
  <w:drawingGridVerticalSpacing w:val="28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DkxNmM5OWQ2OGU4Y2YyZTI1MDk4OWYzZjllNWEifQ=="/>
  </w:docVars>
  <w:rsids>
    <w:rsidRoot w:val="002E4C6F"/>
    <w:rsid w:val="000274D5"/>
    <w:rsid w:val="00041341"/>
    <w:rsid w:val="000572AE"/>
    <w:rsid w:val="001523F9"/>
    <w:rsid w:val="00197693"/>
    <w:rsid w:val="001B10D1"/>
    <w:rsid w:val="001C520F"/>
    <w:rsid w:val="001D65A4"/>
    <w:rsid w:val="002448CB"/>
    <w:rsid w:val="002607DF"/>
    <w:rsid w:val="00272E34"/>
    <w:rsid w:val="0029531F"/>
    <w:rsid w:val="002B736E"/>
    <w:rsid w:val="002E4C6F"/>
    <w:rsid w:val="00306D1D"/>
    <w:rsid w:val="00307CEF"/>
    <w:rsid w:val="00312E2C"/>
    <w:rsid w:val="00332B64"/>
    <w:rsid w:val="0035011C"/>
    <w:rsid w:val="003531E8"/>
    <w:rsid w:val="003633D6"/>
    <w:rsid w:val="00386888"/>
    <w:rsid w:val="003C3DC1"/>
    <w:rsid w:val="00411B00"/>
    <w:rsid w:val="00431188"/>
    <w:rsid w:val="004669E4"/>
    <w:rsid w:val="004802CB"/>
    <w:rsid w:val="00486730"/>
    <w:rsid w:val="004B2E06"/>
    <w:rsid w:val="005267A1"/>
    <w:rsid w:val="00573A74"/>
    <w:rsid w:val="005831A1"/>
    <w:rsid w:val="0059062F"/>
    <w:rsid w:val="005F2D08"/>
    <w:rsid w:val="00605EB8"/>
    <w:rsid w:val="0062799F"/>
    <w:rsid w:val="00650114"/>
    <w:rsid w:val="00670D8F"/>
    <w:rsid w:val="00677504"/>
    <w:rsid w:val="0069623B"/>
    <w:rsid w:val="006B75A1"/>
    <w:rsid w:val="006C08BF"/>
    <w:rsid w:val="007023CC"/>
    <w:rsid w:val="00704C7A"/>
    <w:rsid w:val="007237CC"/>
    <w:rsid w:val="007333F4"/>
    <w:rsid w:val="00765207"/>
    <w:rsid w:val="00772C42"/>
    <w:rsid w:val="007D00CD"/>
    <w:rsid w:val="007D7FEA"/>
    <w:rsid w:val="007E38C9"/>
    <w:rsid w:val="007E5E78"/>
    <w:rsid w:val="00836AE7"/>
    <w:rsid w:val="00872182"/>
    <w:rsid w:val="008C7963"/>
    <w:rsid w:val="00904B25"/>
    <w:rsid w:val="009A0A5F"/>
    <w:rsid w:val="00A30ACA"/>
    <w:rsid w:val="00B12357"/>
    <w:rsid w:val="00B20336"/>
    <w:rsid w:val="00B543FB"/>
    <w:rsid w:val="00B67CDB"/>
    <w:rsid w:val="00B968A4"/>
    <w:rsid w:val="00BA607D"/>
    <w:rsid w:val="00BB6CDF"/>
    <w:rsid w:val="00BE03C2"/>
    <w:rsid w:val="00C34ED1"/>
    <w:rsid w:val="00C6176B"/>
    <w:rsid w:val="00DD266D"/>
    <w:rsid w:val="00DD3914"/>
    <w:rsid w:val="00E13EBD"/>
    <w:rsid w:val="00EB6DEF"/>
    <w:rsid w:val="00EE394C"/>
    <w:rsid w:val="00F52A82"/>
    <w:rsid w:val="0CB34E0D"/>
    <w:rsid w:val="1DBF517E"/>
    <w:rsid w:val="279FD4DA"/>
    <w:rsid w:val="29A94E7B"/>
    <w:rsid w:val="2ECBE3C3"/>
    <w:rsid w:val="2FFF19CC"/>
    <w:rsid w:val="337D3EAF"/>
    <w:rsid w:val="34FC7F59"/>
    <w:rsid w:val="382659DF"/>
    <w:rsid w:val="3E76A887"/>
    <w:rsid w:val="3EDBFDE5"/>
    <w:rsid w:val="3FDAB729"/>
    <w:rsid w:val="3FFDAE6E"/>
    <w:rsid w:val="4C5E007F"/>
    <w:rsid w:val="5DDA290B"/>
    <w:rsid w:val="5EB85E1A"/>
    <w:rsid w:val="5F774F8F"/>
    <w:rsid w:val="65F419AE"/>
    <w:rsid w:val="6C2E0B88"/>
    <w:rsid w:val="6DFE285A"/>
    <w:rsid w:val="6FFD71BE"/>
    <w:rsid w:val="74837FB8"/>
    <w:rsid w:val="74CF93E6"/>
    <w:rsid w:val="76D539D5"/>
    <w:rsid w:val="7DEFB1D8"/>
    <w:rsid w:val="7DFD5844"/>
    <w:rsid w:val="7DFF86A2"/>
    <w:rsid w:val="7E6C3CB5"/>
    <w:rsid w:val="7EF7C946"/>
    <w:rsid w:val="7FB96BD8"/>
    <w:rsid w:val="7FFB09D7"/>
    <w:rsid w:val="AD5F9E14"/>
    <w:rsid w:val="BAEB36E3"/>
    <w:rsid w:val="BFBFB33D"/>
    <w:rsid w:val="CFD62A08"/>
    <w:rsid w:val="D3BAEA76"/>
    <w:rsid w:val="DDCB7B04"/>
    <w:rsid w:val="DFFF2C0B"/>
    <w:rsid w:val="E584F214"/>
    <w:rsid w:val="EF6E9B57"/>
    <w:rsid w:val="F56AB211"/>
    <w:rsid w:val="F739DB80"/>
    <w:rsid w:val="F77F0E7A"/>
    <w:rsid w:val="F7EFB149"/>
    <w:rsid w:val="F7FD0654"/>
    <w:rsid w:val="F9DF8BF5"/>
    <w:rsid w:val="FDD5A860"/>
    <w:rsid w:val="FDDDED20"/>
    <w:rsid w:val="FEC9E7E7"/>
    <w:rsid w:val="FFBEF06B"/>
    <w:rsid w:val="FFEF308B"/>
    <w:rsid w:val="FFF522A9"/>
    <w:rsid w:val="FFFED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8"/>
    <w:link w:val="3"/>
    <w:semiHidden/>
    <w:qFormat/>
    <w:uiPriority w:val="99"/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超链接1"/>
    <w:basedOn w:val="8"/>
    <w:unhideWhenUsed/>
    <w:qFormat/>
    <w:uiPriority w:val="99"/>
    <w:rPr>
      <w:color w:val="0563C1"/>
      <w:u w:val="single"/>
    </w:rPr>
  </w:style>
  <w:style w:type="paragraph" w:customStyle="1" w:styleId="14">
    <w:name w:val="批注框文本1"/>
    <w:basedOn w:val="1"/>
    <w:next w:val="4"/>
    <w:link w:val="15"/>
    <w:semiHidden/>
    <w:unhideWhenUsed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14"/>
    <w:semiHidden/>
    <w:qFormat/>
    <w:uiPriority w:val="99"/>
    <w:rPr>
      <w:kern w:val="2"/>
      <w:sz w:val="18"/>
      <w:szCs w:val="18"/>
    </w:rPr>
  </w:style>
  <w:style w:type="character" w:customStyle="1" w:styleId="16">
    <w:name w:val="批注框文本 Char1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601</Words>
  <Characters>628</Characters>
  <Lines>16</Lines>
  <Paragraphs>4</Paragraphs>
  <TotalTime>17</TotalTime>
  <ScaleCrop>false</ScaleCrop>
  <LinksUpToDate>false</LinksUpToDate>
  <CharactersWithSpaces>689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2021-05-16T05:12:00Z</dcterms:created>
  <dc:creator>NTKO</dc:creator>
  <cp:lastModifiedBy>huy</cp:lastModifiedBy>
  <cp:lastPrinted>2022-10-15T14:49:00Z</cp:lastPrinted>
  <dcterms:modified xsi:type="dcterms:W3CDTF">2025-07-10T17:21:48Z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39113DF78B664BFAA7F6BD162C82EC0F</vt:lpwstr>
  </property>
  <property fmtid="{D5CDD505-2E9C-101B-9397-08002B2CF9AE}" pid="4" name="KSOTemplateDocerSaveRecord">
    <vt:lpwstr>eyJoZGlkIjoiZGY1ZjBkZjM0MDI1N2UyNTI3YjM1Yzc3ZGZkOTk4MDkiLCJ1c2VySWQiOiIzNTQ2MDgwNTMifQ==</vt:lpwstr>
  </property>
</Properties>
</file>