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_GB2312" w:hAnsi="仿宋_GB2312" w:eastAsia="仿宋_GB2312" w:cs="仿宋_GB2312"/>
          <w:w w:val="98"/>
          <w:sz w:val="32"/>
          <w:szCs w:val="32"/>
          <w:lang w:val="en-US" w:eastAsia="zh-CN"/>
        </w:rPr>
      </w:pPr>
      <w:r>
        <w:rPr>
          <w:rFonts w:hint="eastAsia" w:ascii="仿宋_GB2312" w:hAnsi="仿宋_GB2312" w:eastAsia="仿宋_GB2312" w:cs="仿宋_GB2312"/>
          <w:w w:val="98"/>
          <w:sz w:val="32"/>
          <w:szCs w:val="32"/>
          <w:lang w:eastAsia="zh-CN"/>
        </w:rPr>
        <w:t>附件</w:t>
      </w:r>
      <w:r>
        <w:rPr>
          <w:rFonts w:hint="eastAsia" w:ascii="仿宋_GB2312" w:hAnsi="仿宋_GB2312" w:eastAsia="仿宋_GB2312" w:cs="仿宋_GB2312"/>
          <w:w w:val="98"/>
          <w:sz w:val="32"/>
          <w:szCs w:val="32"/>
          <w:lang w:val="en-US" w:eastAsia="zh-CN"/>
        </w:rPr>
        <w:t>2</w:t>
      </w:r>
    </w:p>
    <w:p>
      <w:pPr>
        <w:spacing w:line="560" w:lineRule="exact"/>
        <w:jc w:val="center"/>
        <w:rPr>
          <w:rFonts w:ascii="方正小标宋简体" w:hAnsi="宋体" w:eastAsia="方正小标宋简体" w:cs="宋体"/>
          <w:color w:val="333333"/>
          <w:w w:val="98"/>
          <w:kern w:val="0"/>
          <w:sz w:val="36"/>
          <w:szCs w:val="36"/>
        </w:rPr>
      </w:pPr>
      <w:r>
        <w:rPr>
          <w:rFonts w:hint="eastAsia" w:ascii="方正小标宋简体" w:hAnsi="SimHei" w:eastAsia="方正小标宋简体" w:cs="Times New Roman"/>
          <w:w w:val="98"/>
          <w:sz w:val="36"/>
          <w:szCs w:val="36"/>
        </w:rPr>
        <w:t>标准化宣传公益视频制作机构遴选综合评分细则</w:t>
      </w:r>
    </w:p>
    <w:tbl>
      <w:tblPr>
        <w:tblStyle w:val="7"/>
        <w:tblpPr w:leftFromText="180" w:rightFromText="180" w:vertAnchor="text" w:horzAnchor="margin" w:tblpXSpec="center" w:tblpY="587"/>
        <w:tblW w:w="9918" w:type="dxa"/>
        <w:jc w:val="center"/>
        <w:tblLayout w:type="fixed"/>
        <w:tblCellMar>
          <w:top w:w="0" w:type="dxa"/>
          <w:left w:w="108" w:type="dxa"/>
          <w:bottom w:w="0" w:type="dxa"/>
          <w:right w:w="108" w:type="dxa"/>
        </w:tblCellMar>
      </w:tblPr>
      <w:tblGrid>
        <w:gridCol w:w="765"/>
        <w:gridCol w:w="1850"/>
        <w:gridCol w:w="573"/>
        <w:gridCol w:w="4858"/>
        <w:gridCol w:w="734"/>
        <w:gridCol w:w="1138"/>
      </w:tblGrid>
      <w:tr>
        <w:tblPrEx>
          <w:tblCellMar>
            <w:top w:w="0" w:type="dxa"/>
            <w:left w:w="108" w:type="dxa"/>
            <w:bottom w:w="0" w:type="dxa"/>
            <w:right w:w="108" w:type="dxa"/>
          </w:tblCellMar>
        </w:tblPrEx>
        <w:trPr>
          <w:trHeight w:val="540" w:hRule="atLeast"/>
          <w:jc w:val="center"/>
        </w:trPr>
        <w:tc>
          <w:tcPr>
            <w:tcW w:w="765"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280" w:lineRule="exact"/>
              <w:rPr>
                <w:rFonts w:ascii="Times New Roman" w:hAnsi="Times New Roman" w:eastAsia="仿宋_GB2312" w:cs="Times New Roman"/>
                <w:b/>
                <w:bCs/>
                <w:color w:val="000000"/>
                <w:kern w:val="0"/>
                <w:sz w:val="22"/>
              </w:rPr>
            </w:pPr>
            <w:r>
              <w:rPr>
                <w:rFonts w:ascii="Times New Roman" w:hAnsi="Times New Roman" w:eastAsia="仿宋_GB2312" w:cs="Times New Roman"/>
                <w:b/>
                <w:bCs/>
                <w:color w:val="000000"/>
                <w:kern w:val="0"/>
                <w:sz w:val="22"/>
              </w:rPr>
              <w:t>机构</w:t>
            </w:r>
          </w:p>
          <w:p>
            <w:pPr>
              <w:widowControl/>
              <w:spacing w:line="280" w:lineRule="exact"/>
              <w:rPr>
                <w:rFonts w:ascii="Times New Roman" w:hAnsi="Times New Roman" w:eastAsia="仿宋_GB2312" w:cs="Times New Roman"/>
                <w:b/>
                <w:bCs/>
                <w:color w:val="000000"/>
                <w:kern w:val="0"/>
                <w:sz w:val="22"/>
              </w:rPr>
            </w:pPr>
            <w:r>
              <w:rPr>
                <w:rFonts w:ascii="Times New Roman" w:hAnsi="Times New Roman" w:eastAsia="仿宋_GB2312" w:cs="Times New Roman"/>
                <w:b/>
                <w:bCs/>
                <w:color w:val="000000"/>
                <w:kern w:val="0"/>
                <w:sz w:val="22"/>
              </w:rPr>
              <w:t>名称</w:t>
            </w:r>
          </w:p>
        </w:tc>
        <w:tc>
          <w:tcPr>
            <w:tcW w:w="9153" w:type="dxa"/>
            <w:gridSpan w:val="5"/>
            <w:tcBorders>
              <w:top w:val="single" w:color="auto" w:sz="4" w:space="0"/>
              <w:left w:val="nil"/>
              <w:bottom w:val="single" w:color="auto" w:sz="4" w:space="0"/>
              <w:right w:val="single" w:color="auto" w:sz="4" w:space="0"/>
            </w:tcBorders>
            <w:shd w:val="clear" w:color="000000" w:fill="auto"/>
            <w:vAlign w:val="center"/>
          </w:tcPr>
          <w:p>
            <w:pPr>
              <w:widowControl/>
              <w:spacing w:line="280" w:lineRule="exact"/>
              <w:jc w:val="left"/>
              <w:rPr>
                <w:rFonts w:ascii="Times New Roman" w:hAnsi="Times New Roman" w:eastAsia="仿宋_GB2312" w:cs="Times New Roman"/>
                <w:b/>
                <w:bCs/>
                <w:color w:val="000000"/>
                <w:kern w:val="0"/>
                <w:sz w:val="22"/>
              </w:rPr>
            </w:pPr>
            <w:r>
              <w:rPr>
                <w:rFonts w:ascii="Times New Roman" w:hAnsi="Times New Roman" w:eastAsia="仿宋_GB2312" w:cs="Times New Roman"/>
                <w:b/>
                <w:bCs/>
                <w:color w:val="000000"/>
                <w:kern w:val="0"/>
                <w:sz w:val="22"/>
              </w:rPr>
              <w:t>　</w:t>
            </w:r>
          </w:p>
        </w:tc>
      </w:tr>
      <w:tr>
        <w:tblPrEx>
          <w:tblCellMar>
            <w:top w:w="0" w:type="dxa"/>
            <w:left w:w="108" w:type="dxa"/>
            <w:bottom w:w="0" w:type="dxa"/>
            <w:right w:w="108" w:type="dxa"/>
          </w:tblCellMar>
        </w:tblPrEx>
        <w:trPr>
          <w:trHeight w:val="485" w:hRule="atLeast"/>
          <w:jc w:val="center"/>
        </w:trPr>
        <w:tc>
          <w:tcPr>
            <w:tcW w:w="765" w:type="dxa"/>
            <w:vMerge w:val="restart"/>
            <w:tcBorders>
              <w:top w:val="nil"/>
              <w:left w:val="single" w:color="auto" w:sz="4" w:space="0"/>
              <w:right w:val="single" w:color="auto" w:sz="4" w:space="0"/>
            </w:tcBorders>
            <w:shd w:val="clear" w:color="000000" w:fill="auto"/>
            <w:vAlign w:val="center"/>
          </w:tcPr>
          <w:p>
            <w:pPr>
              <w:widowControl/>
              <w:spacing w:line="280" w:lineRule="exact"/>
              <w:jc w:val="center"/>
              <w:rPr>
                <w:rFonts w:ascii="Times New Roman" w:hAnsi="Times New Roman" w:eastAsia="仿宋_GB2312" w:cs="Times New Roman"/>
                <w:color w:val="000000"/>
                <w:kern w:val="0"/>
                <w:sz w:val="22"/>
              </w:rPr>
            </w:pPr>
            <w:r>
              <w:rPr>
                <w:rFonts w:hint="eastAsia" w:ascii="Times New Roman" w:hAnsi="Times New Roman" w:eastAsia="仿宋_GB2312" w:cs="Times New Roman"/>
                <w:b/>
                <w:bCs/>
                <w:color w:val="000000"/>
                <w:kern w:val="0"/>
                <w:sz w:val="22"/>
              </w:rPr>
              <w:t>资格审查</w:t>
            </w:r>
          </w:p>
        </w:tc>
        <w:tc>
          <w:tcPr>
            <w:tcW w:w="8015" w:type="dxa"/>
            <w:gridSpan w:val="4"/>
            <w:tcBorders>
              <w:top w:val="single" w:color="auto" w:sz="4" w:space="0"/>
              <w:left w:val="nil"/>
              <w:bottom w:val="single" w:color="auto" w:sz="4" w:space="0"/>
              <w:right w:val="single" w:color="auto" w:sz="4" w:space="0"/>
            </w:tcBorders>
            <w:shd w:val="clear" w:color="000000" w:fill="auto"/>
            <w:vAlign w:val="center"/>
          </w:tcPr>
          <w:p>
            <w:pPr>
              <w:widowControl/>
              <w:spacing w:line="280" w:lineRule="exact"/>
              <w:jc w:val="center"/>
              <w:rPr>
                <w:rFonts w:ascii="Times New Roman" w:hAnsi="Times New Roman" w:eastAsia="仿宋_GB2312" w:cs="Times New Roman"/>
                <w:b/>
                <w:bCs/>
                <w:color w:val="000000"/>
                <w:kern w:val="0"/>
                <w:sz w:val="22"/>
              </w:rPr>
            </w:pPr>
            <w:r>
              <w:rPr>
                <w:rFonts w:ascii="Times New Roman" w:hAnsi="Times New Roman" w:eastAsia="仿宋_GB2312" w:cs="Times New Roman"/>
                <w:b/>
                <w:bCs/>
                <w:color w:val="000000"/>
                <w:kern w:val="0"/>
                <w:sz w:val="22"/>
              </w:rPr>
              <w:t>要求内容</w:t>
            </w:r>
          </w:p>
        </w:tc>
        <w:tc>
          <w:tcPr>
            <w:tcW w:w="1138" w:type="dxa"/>
            <w:tcBorders>
              <w:top w:val="nil"/>
              <w:left w:val="nil"/>
              <w:bottom w:val="single" w:color="auto" w:sz="4" w:space="0"/>
              <w:right w:val="single" w:color="auto" w:sz="4" w:space="0"/>
            </w:tcBorders>
            <w:shd w:val="clear" w:color="000000" w:fill="auto"/>
            <w:vAlign w:val="center"/>
          </w:tcPr>
          <w:p>
            <w:pPr>
              <w:widowControl/>
              <w:spacing w:line="280" w:lineRule="exact"/>
              <w:jc w:val="center"/>
              <w:rPr>
                <w:rFonts w:ascii="Times New Roman" w:hAnsi="Times New Roman" w:eastAsia="仿宋_GB2312" w:cs="Times New Roman"/>
                <w:b/>
                <w:bCs/>
                <w:color w:val="000000"/>
                <w:kern w:val="0"/>
                <w:sz w:val="22"/>
              </w:rPr>
            </w:pPr>
            <w:r>
              <w:rPr>
                <w:rFonts w:ascii="Times New Roman" w:hAnsi="Times New Roman" w:eastAsia="仿宋_GB2312" w:cs="Times New Roman"/>
                <w:b/>
                <w:bCs/>
                <w:color w:val="000000"/>
                <w:kern w:val="0"/>
                <w:sz w:val="22"/>
              </w:rPr>
              <w:t>评价纪要</w:t>
            </w:r>
          </w:p>
        </w:tc>
      </w:tr>
      <w:tr>
        <w:tblPrEx>
          <w:tblCellMar>
            <w:top w:w="0" w:type="dxa"/>
            <w:left w:w="108" w:type="dxa"/>
            <w:bottom w:w="0" w:type="dxa"/>
            <w:right w:w="108" w:type="dxa"/>
          </w:tblCellMar>
        </w:tblPrEx>
        <w:trPr>
          <w:trHeight w:val="476" w:hRule="atLeast"/>
          <w:jc w:val="center"/>
        </w:trPr>
        <w:tc>
          <w:tcPr>
            <w:tcW w:w="765" w:type="dxa"/>
            <w:vMerge w:val="continue"/>
            <w:tcBorders>
              <w:left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color w:val="000000"/>
                <w:kern w:val="0"/>
                <w:sz w:val="22"/>
              </w:rPr>
            </w:pPr>
          </w:p>
        </w:tc>
        <w:tc>
          <w:tcPr>
            <w:tcW w:w="8015"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eastAsia="仿宋_GB2312" w:cs="Times New Roman"/>
                <w:color w:val="000000"/>
                <w:kern w:val="0"/>
                <w:sz w:val="22"/>
              </w:rPr>
            </w:pPr>
            <w:r>
              <w:rPr>
                <w:rFonts w:hint="eastAsia" w:ascii="宋体" w:hAnsi="宋体" w:eastAsia="宋体" w:cs="宋体"/>
                <w:bCs/>
                <w:color w:val="000000"/>
                <w:kern w:val="0"/>
                <w:sz w:val="22"/>
              </w:rPr>
              <w:t>具备中华人民共和国境内注册的独立法人证书或经民政部门备案登记成立的社会团体组织。　</w:t>
            </w:r>
          </w:p>
        </w:tc>
        <w:tc>
          <w:tcPr>
            <w:tcW w:w="113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r>
      <w:tr>
        <w:tblPrEx>
          <w:tblCellMar>
            <w:top w:w="0" w:type="dxa"/>
            <w:left w:w="108" w:type="dxa"/>
            <w:bottom w:w="0" w:type="dxa"/>
            <w:right w:w="108" w:type="dxa"/>
          </w:tblCellMar>
        </w:tblPrEx>
        <w:trPr>
          <w:trHeight w:val="483" w:hRule="atLeast"/>
          <w:jc w:val="center"/>
        </w:trPr>
        <w:tc>
          <w:tcPr>
            <w:tcW w:w="765" w:type="dxa"/>
            <w:vMerge w:val="continue"/>
            <w:tcBorders>
              <w:left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 w:val="22"/>
              </w:rPr>
            </w:pPr>
          </w:p>
        </w:tc>
        <w:tc>
          <w:tcPr>
            <w:tcW w:w="8015"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eastAsia="仿宋_GB2312" w:cs="Times New Roman"/>
                <w:kern w:val="0"/>
                <w:sz w:val="22"/>
              </w:rPr>
            </w:pPr>
            <w:r>
              <w:rPr>
                <w:rFonts w:hint="eastAsia" w:ascii="宋体" w:hAnsi="宋体" w:eastAsia="宋体" w:cs="宋体"/>
                <w:bCs/>
                <w:color w:val="000000"/>
                <w:kern w:val="0"/>
                <w:sz w:val="22"/>
              </w:rPr>
              <w:t>未被列为失信名单；五年内未发生过质量责任事故或人员死亡安全生产事故。</w:t>
            </w:r>
            <w:r>
              <w:rPr>
                <w:rFonts w:ascii="Times New Roman" w:hAnsi="Times New Roman" w:eastAsia="仿宋_GB2312" w:cs="Times New Roman"/>
                <w:kern w:val="0"/>
                <w:sz w:val="22"/>
              </w:rPr>
              <w:t>　</w:t>
            </w:r>
          </w:p>
        </w:tc>
        <w:tc>
          <w:tcPr>
            <w:tcW w:w="113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871" w:hRule="atLeast"/>
          <w:jc w:val="center"/>
        </w:trPr>
        <w:tc>
          <w:tcPr>
            <w:tcW w:w="765" w:type="dxa"/>
            <w:vMerge w:val="continue"/>
            <w:tcBorders>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color w:val="000000"/>
                <w:kern w:val="0"/>
                <w:sz w:val="22"/>
              </w:rPr>
            </w:pPr>
          </w:p>
        </w:tc>
        <w:tc>
          <w:tcPr>
            <w:tcW w:w="728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rFonts w:ascii="宋体" w:hAnsi="宋体" w:eastAsia="宋体" w:cs="宋体"/>
                <w:color w:val="000000"/>
                <w:kern w:val="0"/>
                <w:sz w:val="22"/>
              </w:rPr>
            </w:pPr>
            <w:r>
              <w:rPr>
                <w:rFonts w:ascii="宋体" w:hAnsi="宋体" w:eastAsia="宋体" w:cs="宋体"/>
                <w:color w:val="000000"/>
                <w:kern w:val="0"/>
                <w:sz w:val="22"/>
              </w:rPr>
              <w:t>如资格审查中有不符合项，则判定为资格审查不合格。通过资格审查的，将进入综合评分环节。</w:t>
            </w:r>
          </w:p>
        </w:tc>
        <w:tc>
          <w:tcPr>
            <w:tcW w:w="1872"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80" w:lineRule="exact"/>
              <w:rPr>
                <w:rFonts w:ascii="Times New Roman" w:hAnsi="Times New Roman" w:eastAsia="仿宋_GB2312" w:cs="Times New Roman"/>
                <w:color w:val="000000"/>
                <w:kern w:val="0"/>
                <w:sz w:val="22"/>
              </w:rPr>
            </w:pPr>
            <w:r>
              <w:rPr>
                <w:rFonts w:hint="eastAsia" w:ascii="宋体" w:hAnsi="宋体" w:eastAsia="宋体" w:cs="宋体"/>
                <w:b/>
                <w:color w:val="000000"/>
                <w:kern w:val="0"/>
                <w:sz w:val="22"/>
              </w:rPr>
              <w:t>结论：</w:t>
            </w:r>
            <w:r>
              <w:rPr>
                <w:rFonts w:ascii="Times New Roman" w:hAnsi="Times New Roman" w:eastAsia="仿宋_GB2312" w:cs="Times New Roman"/>
                <w:color w:val="000000"/>
                <w:kern w:val="0"/>
                <w:sz w:val="22"/>
              </w:rPr>
              <w:t>　</w:t>
            </w:r>
          </w:p>
        </w:tc>
      </w:tr>
      <w:tr>
        <w:tblPrEx>
          <w:tblCellMar>
            <w:top w:w="0" w:type="dxa"/>
            <w:left w:w="108" w:type="dxa"/>
            <w:bottom w:w="0" w:type="dxa"/>
            <w:right w:w="108" w:type="dxa"/>
          </w:tblCellMar>
        </w:tblPrEx>
        <w:trPr>
          <w:trHeight w:val="564" w:hRule="atLeast"/>
          <w:jc w:val="center"/>
        </w:trPr>
        <w:tc>
          <w:tcPr>
            <w:tcW w:w="765"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280" w:lineRule="exact"/>
              <w:jc w:val="center"/>
              <w:rPr>
                <w:rFonts w:ascii="Times New Roman" w:hAnsi="Times New Roman" w:eastAsia="仿宋_GB2312" w:cs="Times New Roman"/>
                <w:b/>
                <w:bCs/>
                <w:color w:val="000000"/>
                <w:kern w:val="0"/>
                <w:sz w:val="22"/>
              </w:rPr>
            </w:pPr>
            <w:r>
              <w:rPr>
                <w:rFonts w:hint="eastAsia" w:ascii="Times New Roman" w:hAnsi="Times New Roman" w:eastAsia="仿宋_GB2312" w:cs="Times New Roman"/>
                <w:b/>
                <w:bCs/>
                <w:color w:val="000000"/>
                <w:kern w:val="0"/>
                <w:sz w:val="22"/>
              </w:rPr>
              <w:t>综合评分</w:t>
            </w:r>
          </w:p>
        </w:tc>
        <w:tc>
          <w:tcPr>
            <w:tcW w:w="1850" w:type="dxa"/>
            <w:tcBorders>
              <w:top w:val="single" w:color="auto" w:sz="4" w:space="0"/>
              <w:left w:val="nil"/>
              <w:bottom w:val="single" w:color="auto" w:sz="4" w:space="0"/>
              <w:right w:val="single" w:color="auto" w:sz="4" w:space="0"/>
            </w:tcBorders>
            <w:shd w:val="clear" w:color="000000" w:fill="auto"/>
            <w:vAlign w:val="center"/>
          </w:tcPr>
          <w:p>
            <w:pPr>
              <w:widowControl/>
              <w:spacing w:line="280" w:lineRule="exact"/>
              <w:jc w:val="center"/>
              <w:rPr>
                <w:rFonts w:ascii="Times New Roman" w:hAnsi="Times New Roman" w:eastAsia="仿宋_GB2312" w:cs="Times New Roman"/>
                <w:b/>
                <w:bCs/>
                <w:color w:val="000000"/>
                <w:kern w:val="0"/>
                <w:sz w:val="22"/>
              </w:rPr>
            </w:pPr>
            <w:r>
              <w:rPr>
                <w:rFonts w:ascii="Times New Roman" w:hAnsi="Times New Roman" w:eastAsia="仿宋_GB2312" w:cs="Times New Roman"/>
                <w:b/>
                <w:bCs/>
                <w:color w:val="000000"/>
                <w:kern w:val="0"/>
                <w:sz w:val="22"/>
              </w:rPr>
              <w:t>指标</w:t>
            </w:r>
          </w:p>
        </w:tc>
        <w:tc>
          <w:tcPr>
            <w:tcW w:w="573" w:type="dxa"/>
            <w:tcBorders>
              <w:top w:val="single" w:color="auto" w:sz="4" w:space="0"/>
              <w:left w:val="nil"/>
              <w:bottom w:val="single" w:color="auto" w:sz="4" w:space="0"/>
              <w:right w:val="single" w:color="auto" w:sz="4" w:space="0"/>
            </w:tcBorders>
            <w:shd w:val="clear" w:color="000000" w:fill="auto"/>
            <w:vAlign w:val="center"/>
          </w:tcPr>
          <w:p>
            <w:pPr>
              <w:widowControl/>
              <w:spacing w:line="280" w:lineRule="exact"/>
              <w:jc w:val="center"/>
              <w:rPr>
                <w:rFonts w:ascii="Times New Roman" w:hAnsi="Times New Roman" w:eastAsia="仿宋_GB2312" w:cs="Times New Roman"/>
                <w:b/>
                <w:bCs/>
                <w:color w:val="000000"/>
                <w:kern w:val="0"/>
                <w:sz w:val="22"/>
              </w:rPr>
            </w:pPr>
            <w:r>
              <w:rPr>
                <w:rFonts w:ascii="Times New Roman" w:hAnsi="Times New Roman" w:eastAsia="仿宋_GB2312" w:cs="Times New Roman"/>
                <w:b/>
                <w:bCs/>
                <w:color w:val="000000"/>
                <w:kern w:val="0"/>
                <w:sz w:val="22"/>
              </w:rPr>
              <w:t>分值</w:t>
            </w:r>
          </w:p>
        </w:tc>
        <w:tc>
          <w:tcPr>
            <w:tcW w:w="4858" w:type="dxa"/>
            <w:tcBorders>
              <w:top w:val="single" w:color="auto" w:sz="4" w:space="0"/>
              <w:left w:val="nil"/>
              <w:bottom w:val="single" w:color="auto" w:sz="4" w:space="0"/>
              <w:right w:val="single" w:color="auto" w:sz="4" w:space="0"/>
            </w:tcBorders>
            <w:shd w:val="clear" w:color="000000" w:fill="auto"/>
            <w:vAlign w:val="center"/>
          </w:tcPr>
          <w:p>
            <w:pPr>
              <w:widowControl/>
              <w:spacing w:line="280" w:lineRule="exact"/>
              <w:jc w:val="center"/>
              <w:rPr>
                <w:rFonts w:ascii="Times New Roman" w:hAnsi="Times New Roman" w:eastAsia="仿宋_GB2312" w:cs="Times New Roman"/>
                <w:b/>
                <w:bCs/>
                <w:color w:val="000000"/>
                <w:kern w:val="0"/>
                <w:sz w:val="22"/>
              </w:rPr>
            </w:pPr>
            <w:r>
              <w:rPr>
                <w:rFonts w:ascii="Times New Roman" w:hAnsi="Times New Roman" w:eastAsia="仿宋_GB2312" w:cs="Times New Roman"/>
                <w:b/>
                <w:bCs/>
                <w:color w:val="000000"/>
                <w:kern w:val="0"/>
                <w:sz w:val="22"/>
              </w:rPr>
              <w:t>评价方法</w:t>
            </w:r>
          </w:p>
        </w:tc>
        <w:tc>
          <w:tcPr>
            <w:tcW w:w="734" w:type="dxa"/>
            <w:tcBorders>
              <w:top w:val="single" w:color="auto" w:sz="4" w:space="0"/>
              <w:left w:val="nil"/>
              <w:bottom w:val="single" w:color="auto" w:sz="4" w:space="0"/>
              <w:right w:val="single" w:color="auto" w:sz="4" w:space="0"/>
            </w:tcBorders>
            <w:shd w:val="clear" w:color="000000" w:fill="auto"/>
            <w:vAlign w:val="center"/>
          </w:tcPr>
          <w:p>
            <w:pPr>
              <w:widowControl/>
              <w:spacing w:line="280" w:lineRule="exact"/>
              <w:jc w:val="center"/>
              <w:rPr>
                <w:rFonts w:ascii="Times New Roman" w:hAnsi="Times New Roman" w:eastAsia="仿宋_GB2312" w:cs="Times New Roman"/>
                <w:b/>
                <w:bCs/>
                <w:color w:val="000000"/>
                <w:kern w:val="0"/>
                <w:sz w:val="22"/>
              </w:rPr>
            </w:pPr>
            <w:r>
              <w:rPr>
                <w:rFonts w:ascii="Times New Roman" w:hAnsi="Times New Roman" w:eastAsia="仿宋_GB2312" w:cs="Times New Roman"/>
                <w:b/>
                <w:bCs/>
                <w:color w:val="000000"/>
                <w:kern w:val="0"/>
                <w:sz w:val="22"/>
              </w:rPr>
              <w:t>分值</w:t>
            </w:r>
          </w:p>
        </w:tc>
        <w:tc>
          <w:tcPr>
            <w:tcW w:w="1138" w:type="dxa"/>
            <w:tcBorders>
              <w:top w:val="single" w:color="auto" w:sz="4" w:space="0"/>
              <w:left w:val="nil"/>
              <w:bottom w:val="single" w:color="auto" w:sz="4" w:space="0"/>
              <w:right w:val="single" w:color="auto" w:sz="4" w:space="0"/>
            </w:tcBorders>
            <w:shd w:val="clear" w:color="000000" w:fill="auto"/>
            <w:vAlign w:val="center"/>
          </w:tcPr>
          <w:p>
            <w:pPr>
              <w:widowControl/>
              <w:spacing w:line="280" w:lineRule="exact"/>
              <w:jc w:val="center"/>
              <w:rPr>
                <w:rFonts w:ascii="Times New Roman" w:hAnsi="Times New Roman" w:eastAsia="仿宋_GB2312" w:cs="Times New Roman"/>
                <w:b/>
                <w:bCs/>
                <w:color w:val="000000"/>
                <w:kern w:val="0"/>
                <w:sz w:val="22"/>
              </w:rPr>
            </w:pPr>
            <w:r>
              <w:rPr>
                <w:rFonts w:ascii="Times New Roman" w:hAnsi="Times New Roman" w:eastAsia="仿宋_GB2312" w:cs="Times New Roman"/>
                <w:b/>
                <w:bCs/>
                <w:color w:val="000000"/>
                <w:kern w:val="0"/>
                <w:sz w:val="22"/>
              </w:rPr>
              <w:t>评价纪要</w:t>
            </w:r>
          </w:p>
        </w:tc>
      </w:tr>
      <w:tr>
        <w:tblPrEx>
          <w:tblCellMar>
            <w:top w:w="0" w:type="dxa"/>
            <w:left w:w="108" w:type="dxa"/>
            <w:bottom w:w="0" w:type="dxa"/>
            <w:right w:w="108" w:type="dxa"/>
          </w:tblCellMar>
        </w:tblPrEx>
        <w:trPr>
          <w:trHeight w:val="1037" w:hRule="atLeast"/>
          <w:jc w:val="center"/>
        </w:trPr>
        <w:tc>
          <w:tcPr>
            <w:tcW w:w="76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8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价格情况</w:t>
            </w:r>
          </w:p>
        </w:tc>
        <w:tc>
          <w:tcPr>
            <w:tcW w:w="57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4858" w:type="dxa"/>
            <w:tcBorders>
              <w:top w:val="single" w:color="auto" w:sz="4" w:space="0"/>
              <w:left w:val="single" w:color="auto" w:sz="4" w:space="0"/>
              <w:right w:val="single" w:color="auto" w:sz="4" w:space="0"/>
            </w:tcBorders>
            <w:shd w:val="clear" w:color="auto" w:fill="FFFFFF" w:themeFill="background1"/>
            <w:vAlign w:val="center"/>
          </w:tcPr>
          <w:p>
            <w:pPr>
              <w:widowControl/>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将所有申报遴选机构的报价按照由低到高的顺序排列，依次得分为20分，15分，10分，5分，第5名（含）以后不得分，满分20分。</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p>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c>
          <w:tcPr>
            <w:tcW w:w="1138"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p>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r>
      <w:tr>
        <w:tblPrEx>
          <w:tblCellMar>
            <w:top w:w="0" w:type="dxa"/>
            <w:left w:w="108" w:type="dxa"/>
            <w:bottom w:w="0" w:type="dxa"/>
            <w:right w:w="108" w:type="dxa"/>
          </w:tblCellMar>
        </w:tblPrEx>
        <w:trPr>
          <w:trHeight w:val="839" w:hRule="atLeast"/>
          <w:jc w:val="center"/>
        </w:trPr>
        <w:tc>
          <w:tcPr>
            <w:tcW w:w="765" w:type="dxa"/>
            <w:tcBorders>
              <w:top w:val="single" w:color="auto" w:sz="4" w:space="0"/>
              <w:left w:val="single" w:color="auto" w:sz="4" w:space="0"/>
              <w:right w:val="single" w:color="auto" w:sz="4" w:space="0"/>
            </w:tcBorders>
            <w:shd w:val="clear" w:color="auto" w:fill="FFFFFF" w:themeFill="background1"/>
            <w:vAlign w:val="center"/>
          </w:tcPr>
          <w:p>
            <w:pPr>
              <w:widowControl/>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850" w:type="dxa"/>
            <w:tcBorders>
              <w:top w:val="single" w:color="auto" w:sz="4" w:space="0"/>
              <w:left w:val="single" w:color="auto" w:sz="4" w:space="0"/>
              <w:right w:val="single" w:color="auto" w:sz="4" w:space="0"/>
            </w:tcBorders>
            <w:shd w:val="clear" w:color="auto" w:fill="FFFFFF" w:themeFill="background1"/>
            <w:vAlign w:val="center"/>
          </w:tcPr>
          <w:p>
            <w:pPr>
              <w:widowControl/>
              <w:spacing w:line="280" w:lineRule="exact"/>
              <w:jc w:val="center"/>
              <w:rPr>
                <w:rFonts w:ascii="宋体" w:hAnsi="宋体" w:eastAsia="宋体" w:cs="宋体"/>
                <w:color w:val="000000"/>
                <w:kern w:val="0"/>
                <w:sz w:val="22"/>
                <w:highlight w:val="none"/>
              </w:rPr>
            </w:pPr>
            <w:r>
              <w:rPr>
                <w:rFonts w:ascii="宋体" w:hAnsi="宋体" w:eastAsia="宋体" w:cs="宋体"/>
                <w:color w:val="000000"/>
                <w:kern w:val="0"/>
                <w:sz w:val="22"/>
                <w:highlight w:val="none"/>
              </w:rPr>
              <w:t>人员情况</w:t>
            </w:r>
          </w:p>
        </w:tc>
        <w:tc>
          <w:tcPr>
            <w:tcW w:w="573" w:type="dxa"/>
            <w:tcBorders>
              <w:top w:val="single" w:color="auto" w:sz="4" w:space="0"/>
              <w:left w:val="single" w:color="auto" w:sz="4" w:space="0"/>
              <w:right w:val="single" w:color="auto" w:sz="4" w:space="0"/>
            </w:tcBorders>
            <w:shd w:val="clear" w:color="auto" w:fill="FFFFFF" w:themeFill="background1"/>
            <w:vAlign w:val="center"/>
          </w:tcPr>
          <w:p>
            <w:pPr>
              <w:widowControl/>
              <w:spacing w:line="280" w:lineRule="exact"/>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1</w:t>
            </w:r>
            <w:r>
              <w:rPr>
                <w:rFonts w:hint="eastAsia" w:ascii="宋体" w:hAnsi="宋体" w:eastAsia="宋体" w:cs="宋体"/>
                <w:color w:val="000000"/>
                <w:kern w:val="0"/>
                <w:sz w:val="22"/>
                <w:highlight w:val="none"/>
                <w:lang w:val="en-US" w:eastAsia="zh-CN"/>
              </w:rPr>
              <w:t>5</w:t>
            </w:r>
          </w:p>
        </w:tc>
        <w:tc>
          <w:tcPr>
            <w:tcW w:w="4858" w:type="dxa"/>
            <w:tcBorders>
              <w:top w:val="single" w:color="auto" w:sz="4" w:space="0"/>
              <w:left w:val="single" w:color="auto" w:sz="4" w:space="0"/>
              <w:right w:val="single" w:color="auto" w:sz="4" w:space="0"/>
            </w:tcBorders>
            <w:shd w:val="clear" w:color="auto" w:fill="FFFFFF" w:themeFill="background1"/>
            <w:vAlign w:val="center"/>
          </w:tcPr>
          <w:p>
            <w:pPr>
              <w:widowControl/>
              <w:spacing w:line="280" w:lineRule="exact"/>
              <w:jc w:val="lef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公司拥有专业副高职称人员以上每1名加5分，中级职称每1名加2分，满分1</w:t>
            </w:r>
            <w:r>
              <w:rPr>
                <w:rFonts w:hint="eastAsia" w:ascii="宋体" w:hAnsi="宋体" w:eastAsia="宋体" w:cs="宋体"/>
                <w:color w:val="000000"/>
                <w:kern w:val="0"/>
                <w:sz w:val="22"/>
                <w:highlight w:val="none"/>
                <w:lang w:val="en-US" w:eastAsia="zh-CN"/>
              </w:rPr>
              <w:t>5</w:t>
            </w:r>
            <w:r>
              <w:rPr>
                <w:rFonts w:hint="eastAsia" w:ascii="宋体" w:hAnsi="宋体" w:eastAsia="宋体" w:cs="宋体"/>
                <w:color w:val="000000"/>
                <w:kern w:val="0"/>
                <w:sz w:val="22"/>
                <w:highlight w:val="none"/>
              </w:rPr>
              <w:t>分。</w:t>
            </w:r>
          </w:p>
        </w:tc>
        <w:tc>
          <w:tcPr>
            <w:tcW w:w="734" w:type="dxa"/>
            <w:tcBorders>
              <w:top w:val="single" w:color="auto" w:sz="4" w:space="0"/>
              <w:left w:val="single" w:color="auto" w:sz="4" w:space="0"/>
              <w:right w:val="single" w:color="auto" w:sz="4" w:space="0"/>
            </w:tcBorders>
            <w:shd w:val="clear" w:color="auto" w:fill="auto"/>
            <w:vAlign w:val="center"/>
          </w:tcPr>
          <w:p>
            <w:pPr>
              <w:widowControl/>
              <w:spacing w:line="280" w:lineRule="exact"/>
              <w:jc w:val="left"/>
              <w:rPr>
                <w:rFonts w:ascii="Times New Roman" w:hAnsi="Times New Roman" w:eastAsia="仿宋_GB2312" w:cs="Times New Roman"/>
                <w:color w:val="000000"/>
                <w:kern w:val="0"/>
                <w:sz w:val="22"/>
                <w:highlight w:val="none"/>
              </w:rPr>
            </w:pPr>
          </w:p>
        </w:tc>
        <w:tc>
          <w:tcPr>
            <w:tcW w:w="1138" w:type="dxa"/>
            <w:tcBorders>
              <w:top w:val="single" w:color="auto" w:sz="4" w:space="0"/>
              <w:left w:val="single" w:color="auto" w:sz="4" w:space="0"/>
              <w:right w:val="single" w:color="auto" w:sz="4" w:space="0"/>
            </w:tcBorders>
            <w:shd w:val="clear" w:color="auto" w:fill="auto"/>
            <w:vAlign w:val="center"/>
          </w:tcPr>
          <w:p>
            <w:pPr>
              <w:widowControl/>
              <w:spacing w:line="280" w:lineRule="exact"/>
              <w:jc w:val="left"/>
              <w:rPr>
                <w:rFonts w:ascii="Times New Roman" w:hAnsi="Times New Roman" w:eastAsia="仿宋_GB2312" w:cs="Times New Roman"/>
                <w:color w:val="000000"/>
                <w:kern w:val="0"/>
                <w:sz w:val="22"/>
                <w:highlight w:val="none"/>
              </w:rPr>
            </w:pPr>
          </w:p>
        </w:tc>
      </w:tr>
      <w:tr>
        <w:tblPrEx>
          <w:tblCellMar>
            <w:top w:w="0" w:type="dxa"/>
            <w:left w:w="108" w:type="dxa"/>
            <w:bottom w:w="0" w:type="dxa"/>
            <w:right w:w="108" w:type="dxa"/>
          </w:tblCellMar>
        </w:tblPrEx>
        <w:trPr>
          <w:trHeight w:val="756" w:hRule="atLeast"/>
          <w:jc w:val="center"/>
        </w:trPr>
        <w:tc>
          <w:tcPr>
            <w:tcW w:w="76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8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280" w:lineRule="exact"/>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工作</w:t>
            </w:r>
            <w:r>
              <w:rPr>
                <w:rFonts w:ascii="宋体" w:hAnsi="宋体" w:eastAsia="宋体" w:cs="宋体"/>
                <w:color w:val="000000"/>
                <w:kern w:val="0"/>
                <w:sz w:val="22"/>
                <w:highlight w:val="none"/>
              </w:rPr>
              <w:t>经历</w:t>
            </w:r>
          </w:p>
        </w:tc>
        <w:tc>
          <w:tcPr>
            <w:tcW w:w="57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280" w:lineRule="exact"/>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3</w:t>
            </w:r>
            <w:r>
              <w:rPr>
                <w:rFonts w:hint="eastAsia" w:ascii="宋体" w:hAnsi="宋体" w:eastAsia="宋体" w:cs="宋体"/>
                <w:color w:val="000000"/>
                <w:kern w:val="0"/>
                <w:sz w:val="22"/>
                <w:highlight w:val="none"/>
                <w:lang w:val="en-US" w:eastAsia="zh-CN"/>
              </w:rPr>
              <w:t>5</w:t>
            </w:r>
          </w:p>
        </w:tc>
        <w:tc>
          <w:tcPr>
            <w:tcW w:w="4858" w:type="dxa"/>
            <w:tcBorders>
              <w:top w:val="single" w:color="auto" w:sz="4" w:space="0"/>
              <w:left w:val="nil"/>
              <w:bottom w:val="single" w:color="auto" w:sz="4" w:space="0"/>
              <w:right w:val="single" w:color="auto" w:sz="4" w:space="0"/>
            </w:tcBorders>
            <w:shd w:val="clear" w:color="auto" w:fill="FFFFFF" w:themeFill="background1"/>
            <w:vAlign w:val="center"/>
          </w:tcPr>
          <w:p>
            <w:pPr>
              <w:widowControl/>
              <w:spacing w:line="280" w:lineRule="exact"/>
              <w:jc w:val="lef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结合辽宁产业实际，参与过视频采编制作项目的得1</w:t>
            </w:r>
            <w:r>
              <w:rPr>
                <w:rFonts w:hint="eastAsia" w:ascii="宋体" w:hAnsi="宋体" w:eastAsia="宋体" w:cs="宋体"/>
                <w:color w:val="000000"/>
                <w:kern w:val="0"/>
                <w:sz w:val="22"/>
                <w:highlight w:val="none"/>
                <w:lang w:val="en-US" w:eastAsia="zh-CN"/>
              </w:rPr>
              <w:t>5</w:t>
            </w:r>
            <w:r>
              <w:rPr>
                <w:rFonts w:hint="eastAsia" w:ascii="宋体" w:hAnsi="宋体" w:eastAsia="宋体" w:cs="宋体"/>
                <w:color w:val="000000"/>
                <w:kern w:val="0"/>
                <w:sz w:val="22"/>
                <w:highlight w:val="none"/>
              </w:rPr>
              <w:t>-</w:t>
            </w:r>
            <w:r>
              <w:rPr>
                <w:rFonts w:hint="eastAsia" w:ascii="宋体" w:hAnsi="宋体" w:eastAsia="宋体" w:cs="宋体"/>
                <w:color w:val="000000"/>
                <w:kern w:val="0"/>
                <w:sz w:val="22"/>
                <w:highlight w:val="none"/>
                <w:lang w:val="en-US" w:eastAsia="zh-CN"/>
              </w:rPr>
              <w:t>2</w:t>
            </w:r>
            <w:r>
              <w:rPr>
                <w:rFonts w:hint="eastAsia" w:ascii="宋体" w:hAnsi="宋体" w:eastAsia="宋体" w:cs="宋体"/>
                <w:color w:val="000000"/>
                <w:kern w:val="0"/>
                <w:sz w:val="22"/>
                <w:highlight w:val="none"/>
              </w:rPr>
              <w:t>5分，参与过标准</w:t>
            </w:r>
            <w:r>
              <w:rPr>
                <w:rFonts w:hint="eastAsia" w:ascii="宋体" w:hAnsi="宋体" w:eastAsia="宋体" w:cs="宋体"/>
                <w:color w:val="000000"/>
                <w:kern w:val="0"/>
                <w:sz w:val="22"/>
                <w:highlight w:val="none"/>
                <w:lang w:eastAsia="zh-CN"/>
              </w:rPr>
              <w:t>化视频</w:t>
            </w:r>
            <w:r>
              <w:rPr>
                <w:rFonts w:hint="eastAsia" w:ascii="宋体" w:hAnsi="宋体" w:eastAsia="宋体" w:cs="宋体"/>
                <w:color w:val="000000"/>
                <w:kern w:val="0"/>
                <w:sz w:val="22"/>
                <w:highlight w:val="none"/>
              </w:rPr>
              <w:t>采编项目</w:t>
            </w:r>
            <w:bookmarkStart w:id="0" w:name="_GoBack"/>
            <w:bookmarkEnd w:id="0"/>
            <w:r>
              <w:rPr>
                <w:rFonts w:hint="eastAsia" w:ascii="宋体" w:hAnsi="宋体" w:eastAsia="宋体" w:cs="宋体"/>
                <w:color w:val="000000"/>
                <w:kern w:val="0"/>
                <w:sz w:val="22"/>
                <w:highlight w:val="none"/>
              </w:rPr>
              <w:t>工作的得</w:t>
            </w:r>
            <w:r>
              <w:rPr>
                <w:rFonts w:hint="eastAsia" w:ascii="宋体" w:hAnsi="宋体" w:eastAsia="宋体" w:cs="宋体"/>
                <w:color w:val="000000"/>
                <w:kern w:val="0"/>
                <w:sz w:val="22"/>
                <w:highlight w:val="none"/>
                <w:lang w:val="en-US" w:eastAsia="zh-CN"/>
              </w:rPr>
              <w:t>25</w:t>
            </w:r>
            <w:r>
              <w:rPr>
                <w:rFonts w:hint="eastAsia" w:ascii="宋体" w:hAnsi="宋体" w:eastAsia="宋体" w:cs="宋体"/>
                <w:color w:val="000000"/>
                <w:kern w:val="0"/>
                <w:sz w:val="22"/>
                <w:highlight w:val="none"/>
              </w:rPr>
              <w:t>-</w:t>
            </w:r>
            <w:r>
              <w:rPr>
                <w:rFonts w:hint="eastAsia" w:ascii="宋体" w:hAnsi="宋体" w:eastAsia="宋体" w:cs="宋体"/>
                <w:color w:val="000000"/>
                <w:kern w:val="0"/>
                <w:sz w:val="22"/>
                <w:highlight w:val="none"/>
                <w:lang w:val="en-US" w:eastAsia="zh-CN"/>
              </w:rPr>
              <w:t>3</w:t>
            </w:r>
            <w:r>
              <w:rPr>
                <w:rFonts w:hint="eastAsia" w:ascii="宋体" w:hAnsi="宋体" w:eastAsia="宋体" w:cs="宋体"/>
                <w:color w:val="000000"/>
                <w:kern w:val="0"/>
                <w:sz w:val="22"/>
                <w:highlight w:val="none"/>
              </w:rPr>
              <w:t>5分；满分3</w:t>
            </w:r>
            <w:r>
              <w:rPr>
                <w:rFonts w:hint="eastAsia" w:ascii="宋体" w:hAnsi="宋体" w:eastAsia="宋体" w:cs="宋体"/>
                <w:color w:val="000000"/>
                <w:kern w:val="0"/>
                <w:sz w:val="22"/>
                <w:highlight w:val="none"/>
                <w:lang w:val="en-US" w:eastAsia="zh-CN"/>
              </w:rPr>
              <w:t>5</w:t>
            </w:r>
            <w:r>
              <w:rPr>
                <w:rFonts w:hint="eastAsia" w:ascii="宋体" w:hAnsi="宋体" w:eastAsia="宋体" w:cs="宋体"/>
                <w:color w:val="000000"/>
                <w:kern w:val="0"/>
                <w:sz w:val="22"/>
                <w:highlight w:val="none"/>
              </w:rPr>
              <w:t>分。</w:t>
            </w:r>
          </w:p>
        </w:tc>
        <w:tc>
          <w:tcPr>
            <w:tcW w:w="734"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color w:val="000000"/>
                <w:kern w:val="0"/>
                <w:sz w:val="22"/>
                <w:highlight w:val="none"/>
              </w:rPr>
            </w:pPr>
            <w:r>
              <w:rPr>
                <w:rFonts w:ascii="Times New Roman" w:hAnsi="Times New Roman" w:eastAsia="仿宋_GB2312" w:cs="Times New Roman"/>
                <w:color w:val="000000"/>
                <w:kern w:val="0"/>
                <w:sz w:val="22"/>
                <w:highlight w:val="none"/>
              </w:rPr>
              <w:t>　</w:t>
            </w:r>
          </w:p>
        </w:tc>
        <w:tc>
          <w:tcPr>
            <w:tcW w:w="1138"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eastAsia="仿宋_GB2312" w:cs="Times New Roman"/>
                <w:color w:val="000000"/>
                <w:kern w:val="0"/>
                <w:sz w:val="22"/>
                <w:highlight w:val="none"/>
              </w:rPr>
            </w:pPr>
            <w:r>
              <w:rPr>
                <w:rFonts w:ascii="Times New Roman" w:hAnsi="Times New Roman" w:eastAsia="仿宋_GB2312" w:cs="Times New Roman"/>
                <w:color w:val="000000"/>
                <w:kern w:val="0"/>
                <w:sz w:val="22"/>
                <w:highlight w:val="none"/>
              </w:rPr>
              <w:t>　</w:t>
            </w:r>
          </w:p>
        </w:tc>
      </w:tr>
      <w:tr>
        <w:tblPrEx>
          <w:tblCellMar>
            <w:top w:w="0" w:type="dxa"/>
            <w:left w:w="108" w:type="dxa"/>
            <w:bottom w:w="0" w:type="dxa"/>
            <w:right w:w="108" w:type="dxa"/>
          </w:tblCellMar>
        </w:tblPrEx>
        <w:trPr>
          <w:trHeight w:val="871" w:hRule="atLeast"/>
          <w:jc w:val="center"/>
        </w:trPr>
        <w:tc>
          <w:tcPr>
            <w:tcW w:w="76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85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工作</w:t>
            </w:r>
            <w:r>
              <w:rPr>
                <w:rFonts w:ascii="宋体" w:hAnsi="宋体" w:eastAsia="宋体" w:cs="宋体"/>
                <w:color w:val="000000"/>
                <w:kern w:val="0"/>
                <w:sz w:val="22"/>
              </w:rPr>
              <w:t>方案</w:t>
            </w:r>
          </w:p>
        </w:tc>
        <w:tc>
          <w:tcPr>
            <w:tcW w:w="573"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center"/>
              <w:rPr>
                <w:rFonts w:ascii="宋体" w:hAnsi="宋体" w:eastAsia="宋体" w:cs="宋体"/>
                <w:color w:val="000000"/>
                <w:kern w:val="0"/>
                <w:sz w:val="22"/>
              </w:rPr>
            </w:pPr>
            <w:r>
              <w:rPr>
                <w:rFonts w:ascii="宋体" w:hAnsi="宋体" w:eastAsia="宋体" w:cs="宋体"/>
                <w:color w:val="000000"/>
                <w:kern w:val="0"/>
                <w:sz w:val="22"/>
              </w:rPr>
              <w:t>30</w:t>
            </w:r>
          </w:p>
        </w:tc>
        <w:tc>
          <w:tcPr>
            <w:tcW w:w="4858" w:type="dxa"/>
            <w:tcBorders>
              <w:top w:val="nil"/>
              <w:left w:val="nil"/>
              <w:bottom w:val="single" w:color="auto" w:sz="4" w:space="0"/>
              <w:right w:val="single" w:color="auto" w:sz="4" w:space="0"/>
            </w:tcBorders>
            <w:shd w:val="clear" w:color="auto" w:fill="auto"/>
            <w:vAlign w:val="center"/>
          </w:tcPr>
          <w:p>
            <w:pPr>
              <w:widowControl/>
              <w:spacing w:line="280" w:lineRule="exact"/>
              <w:rPr>
                <w:rFonts w:ascii="Times New Roman" w:hAnsi="Times New Roman" w:eastAsia="仿宋_GB2312" w:cs="Times New Roman"/>
                <w:color w:val="000000"/>
                <w:kern w:val="0"/>
                <w:sz w:val="22"/>
                <w:highlight w:val="yellow"/>
              </w:rPr>
            </w:pPr>
            <w:r>
              <w:rPr>
                <w:rFonts w:hint="eastAsia" w:ascii="宋体" w:hAnsi="宋体" w:eastAsia="宋体" w:cs="宋体"/>
                <w:color w:val="000000"/>
                <w:kern w:val="0"/>
                <w:sz w:val="22"/>
              </w:rPr>
              <w:t>整体内容：</w:t>
            </w:r>
            <w:r>
              <w:rPr>
                <w:rFonts w:hint="eastAsia" w:ascii="宋体" w:hAnsi="宋体" w:eastAsia="宋体" w:cs="宋体"/>
                <w:kern w:val="0"/>
                <w:sz w:val="22"/>
              </w:rPr>
              <w:t>对工作方案整体内容的完整性和可行性进行评审，</w:t>
            </w:r>
            <w:r>
              <w:rPr>
                <w:rFonts w:hint="eastAsia" w:ascii="宋体" w:hAnsi="宋体" w:eastAsia="宋体" w:cs="宋体"/>
                <w:color w:val="000000"/>
                <w:kern w:val="0"/>
                <w:sz w:val="22"/>
              </w:rPr>
              <w:t>满分</w:t>
            </w:r>
            <w:r>
              <w:rPr>
                <w:rFonts w:hint="eastAsia" w:ascii="宋体" w:hAnsi="宋体" w:eastAsia="宋体" w:cs="宋体"/>
                <w:kern w:val="0"/>
                <w:sz w:val="22"/>
              </w:rPr>
              <w:t>15</w:t>
            </w:r>
            <w:r>
              <w:rPr>
                <w:rFonts w:hint="eastAsia" w:ascii="宋体" w:hAnsi="宋体" w:eastAsia="宋体" w:cs="宋体"/>
                <w:color w:val="000000"/>
                <w:kern w:val="0"/>
                <w:sz w:val="22"/>
              </w:rPr>
              <w:t>分。</w:t>
            </w:r>
          </w:p>
        </w:tc>
        <w:tc>
          <w:tcPr>
            <w:tcW w:w="734"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c>
          <w:tcPr>
            <w:tcW w:w="113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r>
      <w:tr>
        <w:tblPrEx>
          <w:tblCellMar>
            <w:top w:w="0" w:type="dxa"/>
            <w:left w:w="108" w:type="dxa"/>
            <w:bottom w:w="0" w:type="dxa"/>
            <w:right w:w="108" w:type="dxa"/>
          </w:tblCellMar>
        </w:tblPrEx>
        <w:trPr>
          <w:trHeight w:val="1393" w:hRule="atLeast"/>
          <w:jc w:val="center"/>
        </w:trPr>
        <w:tc>
          <w:tcPr>
            <w:tcW w:w="765"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eastAsia="仿宋_GB2312" w:cs="Times New Roman"/>
                <w:color w:val="000000"/>
                <w:kern w:val="0"/>
                <w:sz w:val="22"/>
              </w:rPr>
            </w:pPr>
          </w:p>
        </w:tc>
        <w:tc>
          <w:tcPr>
            <w:tcW w:w="185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eastAsia="仿宋_GB2312" w:cs="Times New Roman"/>
                <w:color w:val="000000"/>
                <w:kern w:val="0"/>
                <w:sz w:val="22"/>
                <w:highlight w:val="yellow"/>
              </w:rPr>
            </w:pPr>
          </w:p>
        </w:tc>
        <w:tc>
          <w:tcPr>
            <w:tcW w:w="573"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cs="Times New Roman"/>
                <w:color w:val="000000"/>
                <w:kern w:val="0"/>
                <w:sz w:val="22"/>
                <w:highlight w:val="yellow"/>
              </w:rPr>
            </w:pPr>
          </w:p>
        </w:tc>
        <w:tc>
          <w:tcPr>
            <w:tcW w:w="4858" w:type="dxa"/>
            <w:tcBorders>
              <w:top w:val="nil"/>
              <w:left w:val="nil"/>
              <w:bottom w:val="single" w:color="auto" w:sz="4" w:space="0"/>
              <w:right w:val="single" w:color="auto" w:sz="4" w:space="0"/>
            </w:tcBorders>
            <w:shd w:val="clear" w:color="auto" w:fill="auto"/>
            <w:vAlign w:val="center"/>
          </w:tcPr>
          <w:p>
            <w:pPr>
              <w:widowControl/>
              <w:spacing w:line="280" w:lineRule="exact"/>
              <w:rPr>
                <w:rFonts w:ascii="Times New Roman" w:hAnsi="Times New Roman" w:eastAsia="仿宋_GB2312" w:cs="Times New Roman"/>
                <w:color w:val="000000"/>
                <w:kern w:val="0"/>
                <w:sz w:val="22"/>
                <w:highlight w:val="yellow"/>
              </w:rPr>
            </w:pPr>
            <w:r>
              <w:rPr>
                <w:rFonts w:hint="eastAsia" w:ascii="宋体" w:hAnsi="宋体" w:eastAsia="宋体" w:cs="宋体"/>
                <w:color w:val="000000"/>
                <w:kern w:val="0"/>
                <w:sz w:val="22"/>
              </w:rPr>
              <w:t>工作计划：进度安排是否合理，人员的能力和数量是否满足编制要求，编制内容是否全面完整，提交省市场监管局的相关材料是否齐全规范，满分15分。</w:t>
            </w:r>
          </w:p>
        </w:tc>
        <w:tc>
          <w:tcPr>
            <w:tcW w:w="734"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c>
          <w:tcPr>
            <w:tcW w:w="113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r>
      <w:tr>
        <w:tblPrEx>
          <w:tblCellMar>
            <w:top w:w="0" w:type="dxa"/>
            <w:left w:w="108" w:type="dxa"/>
            <w:bottom w:w="0" w:type="dxa"/>
            <w:right w:w="108" w:type="dxa"/>
          </w:tblCellMar>
        </w:tblPrEx>
        <w:trPr>
          <w:trHeight w:val="696" w:hRule="atLeast"/>
          <w:jc w:val="center"/>
        </w:trPr>
        <w:tc>
          <w:tcPr>
            <w:tcW w:w="765"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280" w:lineRule="exact"/>
              <w:jc w:val="center"/>
              <w:rPr>
                <w:rFonts w:ascii="Times New Roman" w:hAnsi="Times New Roman" w:eastAsia="仿宋_GB2312" w:cs="Times New Roman"/>
                <w:b/>
                <w:bCs/>
                <w:color w:val="000000"/>
                <w:kern w:val="0"/>
                <w:sz w:val="22"/>
              </w:rPr>
            </w:pPr>
            <w:r>
              <w:rPr>
                <w:rFonts w:ascii="Times New Roman" w:hAnsi="Times New Roman" w:eastAsia="仿宋_GB2312" w:cs="Times New Roman"/>
                <w:b/>
                <w:bCs/>
                <w:color w:val="000000"/>
                <w:kern w:val="0"/>
                <w:sz w:val="22"/>
              </w:rPr>
              <w:t>合计</w:t>
            </w:r>
          </w:p>
        </w:tc>
        <w:tc>
          <w:tcPr>
            <w:tcW w:w="1850" w:type="dxa"/>
            <w:tcBorders>
              <w:top w:val="single" w:color="auto" w:sz="4" w:space="0"/>
              <w:left w:val="nil"/>
              <w:bottom w:val="single" w:color="auto" w:sz="4" w:space="0"/>
              <w:right w:val="single" w:color="auto" w:sz="4" w:space="0"/>
            </w:tcBorders>
            <w:shd w:val="clear" w:color="000000" w:fill="auto"/>
            <w:vAlign w:val="center"/>
          </w:tcPr>
          <w:p>
            <w:pPr>
              <w:widowControl/>
              <w:spacing w:line="280" w:lineRule="exact"/>
              <w:jc w:val="center"/>
              <w:rPr>
                <w:rFonts w:ascii="Times New Roman" w:hAnsi="Times New Roman" w:eastAsia="仿宋_GB2312" w:cs="Times New Roman"/>
                <w:b/>
                <w:bCs/>
                <w:color w:val="000000"/>
                <w:kern w:val="0"/>
                <w:sz w:val="22"/>
              </w:rPr>
            </w:pPr>
            <w:r>
              <w:rPr>
                <w:rFonts w:ascii="Times New Roman" w:hAnsi="Times New Roman" w:eastAsia="仿宋_GB2312" w:cs="Times New Roman"/>
                <w:b/>
                <w:bCs/>
                <w:color w:val="000000"/>
                <w:kern w:val="0"/>
                <w:sz w:val="22"/>
              </w:rPr>
              <w:t>　</w:t>
            </w:r>
          </w:p>
        </w:tc>
        <w:tc>
          <w:tcPr>
            <w:tcW w:w="573" w:type="dxa"/>
            <w:tcBorders>
              <w:top w:val="single" w:color="auto" w:sz="4" w:space="0"/>
              <w:left w:val="nil"/>
              <w:bottom w:val="single" w:color="auto" w:sz="4" w:space="0"/>
              <w:right w:val="single" w:color="auto" w:sz="4" w:space="0"/>
            </w:tcBorders>
            <w:shd w:val="clear" w:color="000000" w:fill="auto"/>
            <w:vAlign w:val="center"/>
          </w:tcPr>
          <w:p>
            <w:pPr>
              <w:widowControl/>
              <w:spacing w:line="280" w:lineRule="exact"/>
              <w:jc w:val="center"/>
              <w:rPr>
                <w:rFonts w:ascii="Times New Roman" w:hAnsi="Times New Roman" w:eastAsia="仿宋_GB2312" w:cs="Times New Roman"/>
                <w:b/>
                <w:bCs/>
                <w:color w:val="000000"/>
                <w:kern w:val="0"/>
                <w:sz w:val="22"/>
              </w:rPr>
            </w:pPr>
            <w:r>
              <w:rPr>
                <w:rFonts w:ascii="Times New Roman" w:hAnsi="Times New Roman" w:eastAsia="仿宋_GB2312" w:cs="Times New Roman"/>
                <w:b/>
                <w:bCs/>
                <w:color w:val="000000"/>
                <w:kern w:val="0"/>
                <w:sz w:val="22"/>
              </w:rPr>
              <w:t>100</w:t>
            </w:r>
          </w:p>
        </w:tc>
        <w:tc>
          <w:tcPr>
            <w:tcW w:w="4858" w:type="dxa"/>
            <w:tcBorders>
              <w:top w:val="single" w:color="auto" w:sz="4" w:space="0"/>
              <w:left w:val="nil"/>
              <w:bottom w:val="single" w:color="auto" w:sz="4" w:space="0"/>
              <w:right w:val="single" w:color="auto" w:sz="4" w:space="0"/>
            </w:tcBorders>
            <w:shd w:val="clear" w:color="000000" w:fill="auto"/>
            <w:vAlign w:val="center"/>
          </w:tcPr>
          <w:p>
            <w:pPr>
              <w:widowControl/>
              <w:spacing w:line="280" w:lineRule="exact"/>
              <w:jc w:val="center"/>
              <w:rPr>
                <w:rFonts w:ascii="Times New Roman" w:hAnsi="Times New Roman" w:eastAsia="仿宋_GB2312" w:cs="Times New Roman"/>
                <w:b/>
                <w:bCs/>
                <w:color w:val="000000"/>
                <w:kern w:val="0"/>
                <w:sz w:val="22"/>
              </w:rPr>
            </w:pPr>
            <w:r>
              <w:rPr>
                <w:rFonts w:ascii="Times New Roman" w:hAnsi="Times New Roman" w:eastAsia="仿宋_GB2312" w:cs="Times New Roman"/>
                <w:b/>
                <w:bCs/>
                <w:color w:val="000000"/>
                <w:kern w:val="0"/>
                <w:sz w:val="22"/>
              </w:rPr>
              <w:t>总得分</w:t>
            </w:r>
          </w:p>
        </w:tc>
        <w:tc>
          <w:tcPr>
            <w:tcW w:w="734" w:type="dxa"/>
            <w:tcBorders>
              <w:top w:val="single" w:color="auto" w:sz="4" w:space="0"/>
              <w:left w:val="nil"/>
              <w:bottom w:val="single" w:color="auto" w:sz="4" w:space="0"/>
              <w:right w:val="single" w:color="auto" w:sz="4" w:space="0"/>
            </w:tcBorders>
            <w:shd w:val="clear" w:color="000000" w:fill="auto"/>
            <w:vAlign w:val="center"/>
          </w:tcPr>
          <w:p>
            <w:pPr>
              <w:widowControl/>
              <w:spacing w:line="280" w:lineRule="exact"/>
              <w:jc w:val="center"/>
              <w:rPr>
                <w:rFonts w:ascii="Times New Roman" w:hAnsi="Times New Roman" w:eastAsia="仿宋_GB2312" w:cs="Times New Roman"/>
                <w:b/>
                <w:bCs/>
                <w:color w:val="000000"/>
                <w:kern w:val="0"/>
                <w:sz w:val="22"/>
              </w:rPr>
            </w:pPr>
            <w:r>
              <w:rPr>
                <w:rFonts w:ascii="Times New Roman" w:hAnsi="Times New Roman" w:eastAsia="仿宋_GB2312" w:cs="Times New Roman"/>
                <w:b/>
                <w:bCs/>
                <w:color w:val="000000"/>
                <w:kern w:val="0"/>
                <w:sz w:val="22"/>
              </w:rPr>
              <w:t>　</w:t>
            </w:r>
          </w:p>
        </w:tc>
        <w:tc>
          <w:tcPr>
            <w:tcW w:w="1138" w:type="dxa"/>
            <w:tcBorders>
              <w:top w:val="single" w:color="auto" w:sz="4" w:space="0"/>
              <w:left w:val="nil"/>
              <w:bottom w:val="single" w:color="auto" w:sz="4" w:space="0"/>
              <w:right w:val="single" w:color="auto" w:sz="4" w:space="0"/>
            </w:tcBorders>
            <w:shd w:val="clear" w:color="000000" w:fill="auto"/>
            <w:vAlign w:val="center"/>
          </w:tcPr>
          <w:p>
            <w:pPr>
              <w:widowControl/>
              <w:spacing w:line="280" w:lineRule="exact"/>
              <w:jc w:val="center"/>
              <w:rPr>
                <w:rFonts w:ascii="Times New Roman" w:hAnsi="Times New Roman" w:eastAsia="仿宋_GB2312" w:cs="Times New Roman"/>
                <w:b/>
                <w:bCs/>
                <w:color w:val="000000"/>
                <w:kern w:val="0"/>
                <w:sz w:val="22"/>
              </w:rPr>
            </w:pPr>
            <w:r>
              <w:rPr>
                <w:rFonts w:ascii="Times New Roman" w:hAnsi="Times New Roman" w:eastAsia="仿宋_GB2312" w:cs="Times New Roman"/>
                <w:b/>
                <w:bCs/>
                <w:color w:val="000000"/>
                <w:kern w:val="0"/>
                <w:sz w:val="22"/>
              </w:rPr>
              <w:t>　</w:t>
            </w:r>
          </w:p>
        </w:tc>
      </w:tr>
      <w:tr>
        <w:tblPrEx>
          <w:tblCellMar>
            <w:top w:w="0" w:type="dxa"/>
            <w:left w:w="108" w:type="dxa"/>
            <w:bottom w:w="0" w:type="dxa"/>
            <w:right w:w="108" w:type="dxa"/>
          </w:tblCellMar>
        </w:tblPrEx>
        <w:trPr>
          <w:trHeight w:val="696" w:hRule="atLeast"/>
          <w:jc w:val="center"/>
        </w:trPr>
        <w:tc>
          <w:tcPr>
            <w:tcW w:w="9918" w:type="dxa"/>
            <w:gridSpan w:val="6"/>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280" w:lineRule="exact"/>
              <w:jc w:val="left"/>
              <w:rPr>
                <w:rFonts w:ascii="Times New Roman" w:hAnsi="Times New Roman" w:eastAsia="仿宋_GB2312" w:cs="Times New Roman"/>
                <w:b/>
                <w:bCs/>
                <w:color w:val="000000"/>
                <w:kern w:val="0"/>
                <w:sz w:val="22"/>
              </w:rPr>
            </w:pPr>
            <w:r>
              <w:rPr>
                <w:rFonts w:hint="eastAsia" w:ascii="Times New Roman" w:hAnsi="Times New Roman" w:eastAsia="仿宋_GB2312" w:cs="Times New Roman"/>
                <w:b/>
                <w:bCs/>
                <w:color w:val="000000"/>
                <w:kern w:val="0"/>
                <w:sz w:val="22"/>
              </w:rPr>
              <w:t>综合评价组组长：                 组员：                       时间：</w:t>
            </w:r>
          </w:p>
        </w:tc>
      </w:tr>
    </w:tbl>
    <w:p>
      <w:pPr>
        <w:widowControl/>
        <w:tabs>
          <w:tab w:val="left" w:pos="720"/>
        </w:tabs>
        <w:spacing w:line="520" w:lineRule="exact"/>
        <w:jc w:val="left"/>
        <w:rPr>
          <w:rFonts w:ascii="SimHei" w:hAnsi="SimHei" w:eastAsia="SimHei" w:cs="宋体"/>
          <w:color w:val="333333"/>
          <w:kern w:val="0"/>
          <w:sz w:val="32"/>
          <w:szCs w:val="32"/>
          <w:u w:val="single"/>
        </w:rPr>
      </w:pPr>
    </w:p>
    <w:sectPr>
      <w:footerReference r:id="rId3" w:type="default"/>
      <w:pgSz w:w="11906" w:h="16838"/>
      <w:pgMar w:top="1985" w:right="1418"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SimHei">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840840"/>
      <w:showingPlcHdr/>
    </w:sdtPr>
    <w:sdtEndPr>
      <w:rPr>
        <w:rFonts w:asciiTheme="minorEastAsia" w:hAnsiTheme="minorEastAsia" w:eastAsiaTheme="minorEastAsia"/>
        <w:sz w:val="28"/>
        <w:szCs w:val="28"/>
      </w:rPr>
    </w:sdtEndPr>
    <w:sdtContent>
      <w:p>
        <w:pPr>
          <w:pStyle w:val="5"/>
          <w:jc w:val="center"/>
          <w:rPr>
            <w:rFonts w:asciiTheme="minorEastAsia" w:hAnsiTheme="minorEastAsia" w:eastAsiaTheme="minorEastAsia"/>
            <w:sz w:val="28"/>
            <w:szCs w:val="28"/>
          </w:rPr>
        </w:pPr>
        <w:r>
          <w:t xml:space="preserve">     </w:t>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cumentProtection w:enforcement="0"/>
  <w:defaultTabStop w:val="420"/>
  <w:drawingGridHorizontalSpacing w:val="201"/>
  <w:drawingGridVerticalSpacing w:val="289"/>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C6F"/>
    <w:rsid w:val="000274D5"/>
    <w:rsid w:val="00041341"/>
    <w:rsid w:val="000572AE"/>
    <w:rsid w:val="001523F9"/>
    <w:rsid w:val="00197693"/>
    <w:rsid w:val="001B10D1"/>
    <w:rsid w:val="001C520F"/>
    <w:rsid w:val="001D65A4"/>
    <w:rsid w:val="002448CB"/>
    <w:rsid w:val="002607DF"/>
    <w:rsid w:val="00272E34"/>
    <w:rsid w:val="0029531F"/>
    <w:rsid w:val="002B736E"/>
    <w:rsid w:val="002E4C6F"/>
    <w:rsid w:val="00306D1D"/>
    <w:rsid w:val="00307CEF"/>
    <w:rsid w:val="00312E2C"/>
    <w:rsid w:val="00332B64"/>
    <w:rsid w:val="0035011C"/>
    <w:rsid w:val="003531E8"/>
    <w:rsid w:val="003633D6"/>
    <w:rsid w:val="00386888"/>
    <w:rsid w:val="003A0EFD"/>
    <w:rsid w:val="003C3DC1"/>
    <w:rsid w:val="00411B00"/>
    <w:rsid w:val="00431188"/>
    <w:rsid w:val="004669E4"/>
    <w:rsid w:val="004802CB"/>
    <w:rsid w:val="00486730"/>
    <w:rsid w:val="004963E8"/>
    <w:rsid w:val="004B2E06"/>
    <w:rsid w:val="005267A1"/>
    <w:rsid w:val="00573A74"/>
    <w:rsid w:val="005831A1"/>
    <w:rsid w:val="0059062F"/>
    <w:rsid w:val="005F2D08"/>
    <w:rsid w:val="00605EB8"/>
    <w:rsid w:val="0062799F"/>
    <w:rsid w:val="00650114"/>
    <w:rsid w:val="00670D8F"/>
    <w:rsid w:val="00677504"/>
    <w:rsid w:val="00683CAE"/>
    <w:rsid w:val="0069623B"/>
    <w:rsid w:val="006B75A1"/>
    <w:rsid w:val="006C08BF"/>
    <w:rsid w:val="007023CC"/>
    <w:rsid w:val="00704C7A"/>
    <w:rsid w:val="007237CC"/>
    <w:rsid w:val="007333F4"/>
    <w:rsid w:val="00765207"/>
    <w:rsid w:val="00772C42"/>
    <w:rsid w:val="007D00CD"/>
    <w:rsid w:val="007D7FEA"/>
    <w:rsid w:val="007E38C9"/>
    <w:rsid w:val="007E5E78"/>
    <w:rsid w:val="00836AE7"/>
    <w:rsid w:val="00872182"/>
    <w:rsid w:val="008C02EE"/>
    <w:rsid w:val="008C7963"/>
    <w:rsid w:val="00904B25"/>
    <w:rsid w:val="009A0A5F"/>
    <w:rsid w:val="00A30ACA"/>
    <w:rsid w:val="00A629F7"/>
    <w:rsid w:val="00B12357"/>
    <w:rsid w:val="00B20336"/>
    <w:rsid w:val="00B543FB"/>
    <w:rsid w:val="00B67CDB"/>
    <w:rsid w:val="00B968A4"/>
    <w:rsid w:val="00BA607D"/>
    <w:rsid w:val="00BB6CDF"/>
    <w:rsid w:val="00BE03C2"/>
    <w:rsid w:val="00C34ED1"/>
    <w:rsid w:val="00C6176B"/>
    <w:rsid w:val="00DD266D"/>
    <w:rsid w:val="00DD3914"/>
    <w:rsid w:val="00DD61C2"/>
    <w:rsid w:val="00E13EBD"/>
    <w:rsid w:val="00EB6DEF"/>
    <w:rsid w:val="00EE394C"/>
    <w:rsid w:val="00F52A82"/>
    <w:rsid w:val="0CB34E0D"/>
    <w:rsid w:val="1DBF517E"/>
    <w:rsid w:val="279FD4DA"/>
    <w:rsid w:val="29A94E7B"/>
    <w:rsid w:val="2ECBE3C3"/>
    <w:rsid w:val="2FFF19CC"/>
    <w:rsid w:val="337D3EAF"/>
    <w:rsid w:val="34FC7F59"/>
    <w:rsid w:val="382659DF"/>
    <w:rsid w:val="3E76A887"/>
    <w:rsid w:val="3EDBFDE5"/>
    <w:rsid w:val="3FDAB729"/>
    <w:rsid w:val="3FFDAE6E"/>
    <w:rsid w:val="47F36FC7"/>
    <w:rsid w:val="4EEF6342"/>
    <w:rsid w:val="5DDA290B"/>
    <w:rsid w:val="5EA44916"/>
    <w:rsid w:val="65F419AE"/>
    <w:rsid w:val="6C2E0B88"/>
    <w:rsid w:val="6DFE285A"/>
    <w:rsid w:val="6FFD71BE"/>
    <w:rsid w:val="74837FB8"/>
    <w:rsid w:val="74CF93E6"/>
    <w:rsid w:val="76D539D5"/>
    <w:rsid w:val="7DBDD996"/>
    <w:rsid w:val="7DEFB1D8"/>
    <w:rsid w:val="7DFD5844"/>
    <w:rsid w:val="7DFF86A2"/>
    <w:rsid w:val="7E45D2EF"/>
    <w:rsid w:val="7E6C3CB5"/>
    <w:rsid w:val="7EF7C946"/>
    <w:rsid w:val="7FB96BD8"/>
    <w:rsid w:val="7FFB09D7"/>
    <w:rsid w:val="AD5F9E14"/>
    <w:rsid w:val="BAEB36E3"/>
    <w:rsid w:val="BFBFB33D"/>
    <w:rsid w:val="CFD62A08"/>
    <w:rsid w:val="D3BAEA76"/>
    <w:rsid w:val="DDCB7B04"/>
    <w:rsid w:val="DFFF2C0B"/>
    <w:rsid w:val="E584F214"/>
    <w:rsid w:val="EF6E9B57"/>
    <w:rsid w:val="F56AB211"/>
    <w:rsid w:val="F739DB80"/>
    <w:rsid w:val="F77F0E7A"/>
    <w:rsid w:val="F7EFB149"/>
    <w:rsid w:val="F7FD0654"/>
    <w:rsid w:val="FBB70B27"/>
    <w:rsid w:val="FDD5A860"/>
    <w:rsid w:val="FDDDED20"/>
    <w:rsid w:val="FEC9E7E7"/>
    <w:rsid w:val="FFBEF06B"/>
    <w:rsid w:val="FFEF308B"/>
    <w:rsid w:val="FFF522A9"/>
    <w:rsid w:val="FFFEDA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0"/>
    <w:semiHidden/>
    <w:unhideWhenUsed/>
    <w:qFormat/>
    <w:uiPriority w:val="99"/>
    <w:pPr>
      <w:ind w:left="100" w:leftChars="2500"/>
    </w:pPr>
  </w:style>
  <w:style w:type="paragraph" w:styleId="4">
    <w:name w:val="Balloon Text"/>
    <w:basedOn w:val="1"/>
    <w:link w:val="16"/>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Times New Roman" w:hAnsi="Times New Roman" w:eastAsia="仿宋_GB2312" w:cs="Times New Roman"/>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日期 字符"/>
    <w:basedOn w:val="8"/>
    <w:link w:val="3"/>
    <w:semiHidden/>
    <w:qFormat/>
    <w:uiPriority w:val="99"/>
  </w:style>
  <w:style w:type="character" w:customStyle="1" w:styleId="11">
    <w:name w:val="页脚 字符"/>
    <w:basedOn w:val="8"/>
    <w:link w:val="5"/>
    <w:qFormat/>
    <w:uiPriority w:val="99"/>
    <w:rPr>
      <w:rFonts w:ascii="Times New Roman" w:hAnsi="Times New Roman" w:eastAsia="仿宋_GB2312" w:cs="Times New Roman"/>
      <w:sz w:val="18"/>
      <w:szCs w:val="18"/>
    </w:rPr>
  </w:style>
  <w:style w:type="character" w:customStyle="1" w:styleId="12">
    <w:name w:val="页眉 字符"/>
    <w:basedOn w:val="8"/>
    <w:link w:val="6"/>
    <w:qFormat/>
    <w:uiPriority w:val="99"/>
    <w:rPr>
      <w:sz w:val="18"/>
      <w:szCs w:val="18"/>
    </w:rPr>
  </w:style>
  <w:style w:type="character" w:customStyle="1" w:styleId="13">
    <w:name w:val="超链接1"/>
    <w:basedOn w:val="8"/>
    <w:unhideWhenUsed/>
    <w:qFormat/>
    <w:uiPriority w:val="99"/>
    <w:rPr>
      <w:color w:val="0563C1"/>
      <w:u w:val="single"/>
    </w:rPr>
  </w:style>
  <w:style w:type="paragraph" w:customStyle="1" w:styleId="14">
    <w:name w:val="批注框文本1"/>
    <w:basedOn w:val="1"/>
    <w:next w:val="4"/>
    <w:link w:val="15"/>
    <w:semiHidden/>
    <w:unhideWhenUsed/>
    <w:qFormat/>
    <w:uiPriority w:val="99"/>
    <w:rPr>
      <w:sz w:val="18"/>
      <w:szCs w:val="18"/>
    </w:rPr>
  </w:style>
  <w:style w:type="character" w:customStyle="1" w:styleId="15">
    <w:name w:val="批注框文本 Char"/>
    <w:basedOn w:val="8"/>
    <w:link w:val="14"/>
    <w:semiHidden/>
    <w:qFormat/>
    <w:uiPriority w:val="99"/>
    <w:rPr>
      <w:kern w:val="2"/>
      <w:sz w:val="18"/>
      <w:szCs w:val="18"/>
    </w:rPr>
  </w:style>
  <w:style w:type="character" w:customStyle="1" w:styleId="16">
    <w:name w:val="批注框文本 字符"/>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107</Words>
  <Characters>616</Characters>
  <Lines>5</Lines>
  <Paragraphs>1</Paragraphs>
  <TotalTime>1</TotalTime>
  <ScaleCrop>false</ScaleCrop>
  <LinksUpToDate>false</LinksUpToDate>
  <CharactersWithSpaces>722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2021-05-17T05:12:00Z</dcterms:created>
  <dc:creator>NTKO</dc:creator>
  <cp:lastModifiedBy>huy</cp:lastModifiedBy>
  <cp:lastPrinted>2022-10-16T14:49:00Z</cp:lastPrinted>
  <dcterms:modified xsi:type="dcterms:W3CDTF">2025-07-10T17:16:05Z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